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8002" w14:textId="020DC0BF" w:rsidR="00CA5D2C" w:rsidRDefault="00CA5D2C" w:rsidP="003C6C52">
      <w:pPr>
        <w:rPr>
          <w:b/>
          <w:bCs/>
          <w:sz w:val="44"/>
          <w:szCs w:val="44"/>
          <w:lang w:eastAsia="nl-NL"/>
        </w:rPr>
      </w:pPr>
      <w:r w:rsidRPr="00CA5D2C">
        <w:rPr>
          <w:b/>
          <w:bCs/>
          <w:sz w:val="44"/>
          <w:szCs w:val="44"/>
          <w:lang w:eastAsia="nl-NL"/>
        </w:rPr>
        <w:t xml:space="preserve">Zon op Tilburgse huurwoningen: </w:t>
      </w:r>
      <w:r w:rsidR="004E1D7F">
        <w:rPr>
          <w:b/>
          <w:bCs/>
          <w:sz w:val="44"/>
          <w:szCs w:val="44"/>
          <w:lang w:eastAsia="nl-NL"/>
        </w:rPr>
        <w:t xml:space="preserve"> aannames businesscase in detail</w:t>
      </w:r>
    </w:p>
    <w:p w14:paraId="5F0BA644" w14:textId="094E567F" w:rsidR="00CA5D2C" w:rsidRPr="00CA5D2C" w:rsidRDefault="004E1D7F" w:rsidP="003C6C52">
      <w:pPr>
        <w:rPr>
          <w:b/>
          <w:bCs/>
          <w:sz w:val="44"/>
          <w:szCs w:val="44"/>
          <w:lang w:eastAsia="nl-NL"/>
        </w:rPr>
      </w:pPr>
      <w:r>
        <w:rPr>
          <w:b/>
          <w:bCs/>
          <w:sz w:val="44"/>
          <w:szCs w:val="44"/>
          <w:lang w:eastAsia="nl-NL"/>
        </w:rPr>
        <w:t xml:space="preserve">Maarten Corpeleijn, zonnig huren, </w:t>
      </w:r>
      <w:r w:rsidR="00CA5D2C">
        <w:rPr>
          <w:b/>
          <w:bCs/>
          <w:sz w:val="44"/>
          <w:szCs w:val="44"/>
          <w:lang w:eastAsia="nl-NL"/>
        </w:rPr>
        <w:t>23 februari</w:t>
      </w:r>
      <w:r>
        <w:rPr>
          <w:b/>
          <w:bCs/>
          <w:sz w:val="44"/>
          <w:szCs w:val="44"/>
          <w:lang w:eastAsia="nl-NL"/>
        </w:rPr>
        <w:t xml:space="preserve"> 2016</w:t>
      </w:r>
    </w:p>
    <w:p w14:paraId="5CF65ADD" w14:textId="77777777" w:rsidR="00CA5D2C" w:rsidRDefault="00CA5D2C" w:rsidP="003C6C52">
      <w:pPr>
        <w:rPr>
          <w:b/>
          <w:bCs/>
          <w:lang w:eastAsia="nl-NL"/>
        </w:rPr>
      </w:pPr>
    </w:p>
    <w:p w14:paraId="253E02ED" w14:textId="77777777" w:rsidR="00D2005D" w:rsidRDefault="00D2005D" w:rsidP="009B437C">
      <w:bookmarkStart w:id="0" w:name="_GoBack"/>
      <w:bookmarkEnd w:id="0"/>
    </w:p>
    <w:p w14:paraId="1139EF3E" w14:textId="4B7A7FC7" w:rsidR="00514BAA" w:rsidRPr="00514BAA" w:rsidRDefault="00514BAA" w:rsidP="00514BAA">
      <w:pPr>
        <w:rPr>
          <w:u w:val="single"/>
        </w:rPr>
      </w:pPr>
      <w:r w:rsidRPr="00514BAA">
        <w:rPr>
          <w:u w:val="single"/>
        </w:rPr>
        <w:t>Aantal panelen</w:t>
      </w:r>
      <w:r w:rsidR="00341245">
        <w:rPr>
          <w:u w:val="single"/>
        </w:rPr>
        <w:t xml:space="preserve"> (kolom C/D/E)</w:t>
      </w:r>
    </w:p>
    <w:p w14:paraId="68094B0A" w14:textId="77777777" w:rsidR="00514BAA" w:rsidRDefault="00514BAA" w:rsidP="00514BAA">
      <w:r>
        <w:t xml:space="preserve">De onderstaande tabel illustreert dat de totaalprijs van een installatie per paneel, 10 % terugloopt bij een 2x zo grote installatie. </w:t>
      </w:r>
    </w:p>
    <w:p w14:paraId="7DB65869" w14:textId="4EB98A76" w:rsidR="00514BAA" w:rsidRDefault="00514BAA" w:rsidP="00514BAA">
      <w:r>
        <w:t xml:space="preserve">Ervaringscijfer bij 5 corporaties (schouw 4.600 woningen) is dat gemiddeld 8 panelen te plaatsen zijn (zie </w:t>
      </w:r>
      <w:proofErr w:type="spellStart"/>
      <w:r>
        <w:t>excel</w:t>
      </w:r>
      <w:proofErr w:type="spellEnd"/>
      <w:r>
        <w:t xml:space="preserve">-bijlage, tab aantal panelen per woning). Hier is een duidelijk verschil tussen schuine daken en platte daken: op schuine daken past meer dan op platte daken (kleiner, panelen moeten onderling afstand houden </w:t>
      </w:r>
      <w:proofErr w:type="spellStart"/>
      <w:r>
        <w:t>ivm</w:t>
      </w:r>
      <w:proofErr w:type="spellEnd"/>
      <w:r>
        <w:t xml:space="preserve"> schaduw, en vaak staan schoorstenen/pijpjes in de weg).</w:t>
      </w:r>
    </w:p>
    <w:p w14:paraId="307F0F92" w14:textId="77777777" w:rsidR="00514BAA" w:rsidRDefault="00514BAA" w:rsidP="00514BAA"/>
    <w:p w14:paraId="13CE2DC2" w14:textId="1A00459A" w:rsidR="00514BAA" w:rsidRDefault="00514BAA" w:rsidP="00514BAA">
      <w:r>
        <w:t xml:space="preserve">Acht panelen met een opbrengst van 1.879 kwh per jaar sluit goed aan bij het elektraverbruik van huurders (vaak 2.000 tot 2.500 kwh). De praktijk van </w:t>
      </w:r>
      <w:r w:rsidR="00B85856">
        <w:t>Zonnighuren</w:t>
      </w:r>
      <w:r>
        <w:t xml:space="preserve"> is dat huurders kiezen hoeveel panelen zij willen afnemen, gegeven het door de installateur gestelde maximum (wat past er op het dak). </w:t>
      </w:r>
    </w:p>
    <w:p w14:paraId="4B204A68" w14:textId="77777777" w:rsidR="00514BAA" w:rsidRDefault="00514BAA" w:rsidP="00514BAA"/>
    <w:p w14:paraId="2247D606" w14:textId="623191D9" w:rsidR="00514BAA" w:rsidRDefault="00514BAA" w:rsidP="00514BAA">
      <w:r>
        <w:t xml:space="preserve">Tiwos heeft de ervaring dat op de platte daken in de pilot maar 6 panelen passen. Deze ervaring sluit aan bij de ervaringen van </w:t>
      </w:r>
      <w:r w:rsidR="00B85856">
        <w:t>Zonnighuren</w:t>
      </w:r>
      <w:r>
        <w:t>. Met de aanname dat in de realisatiefase de meeste daken schuin zijn, is uitgegaan van een evenredige spreiding van 6/8/10 panelen te plaatsen.</w:t>
      </w:r>
    </w:p>
    <w:p w14:paraId="312C1ABD" w14:textId="77777777" w:rsidR="00514BAA" w:rsidRDefault="00514BAA" w:rsidP="008108A0">
      <w:pPr>
        <w:rPr>
          <w:u w:val="single"/>
        </w:rPr>
      </w:pPr>
    </w:p>
    <w:p w14:paraId="0F83CE9F" w14:textId="77777777" w:rsidR="00514BAA" w:rsidRDefault="00514BAA" w:rsidP="00514BAA">
      <w:pPr>
        <w:rPr>
          <w:u w:val="single"/>
        </w:rPr>
      </w:pPr>
      <w:r>
        <w:rPr>
          <w:noProof/>
          <w:u w:val="single"/>
          <w:lang w:eastAsia="nl-NL"/>
        </w:rPr>
        <w:drawing>
          <wp:inline distT="0" distB="0" distL="0" distR="0" wp14:anchorId="13EEF3B7" wp14:editId="51085D5D">
            <wp:extent cx="4572000" cy="2743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14:paraId="4E9A63AE" w14:textId="77777777" w:rsidR="00514BAA" w:rsidRPr="007300F8" w:rsidRDefault="00514BAA" w:rsidP="00514BAA">
      <w:r w:rsidRPr="007300F8">
        <w:t>Figuur: investering in zon euro/wattpiek (ex btw)</w:t>
      </w:r>
    </w:p>
    <w:p w14:paraId="040A82C8" w14:textId="77777777" w:rsidR="00514BAA" w:rsidRDefault="00514BAA" w:rsidP="008108A0">
      <w:pPr>
        <w:rPr>
          <w:u w:val="single"/>
        </w:rPr>
      </w:pPr>
    </w:p>
    <w:p w14:paraId="55BB07EB" w14:textId="5A5D5C31" w:rsidR="00341245" w:rsidRDefault="00341245" w:rsidP="008108A0">
      <w:pPr>
        <w:rPr>
          <w:u w:val="single"/>
        </w:rPr>
      </w:pPr>
      <w:r>
        <w:rPr>
          <w:u w:val="single"/>
        </w:rPr>
        <w:t>Vermogen (rij 2)</w:t>
      </w:r>
    </w:p>
    <w:p w14:paraId="32F33421" w14:textId="356AB98E" w:rsidR="00341245" w:rsidRPr="00341245" w:rsidRDefault="00341245" w:rsidP="008108A0">
      <w:r w:rsidRPr="00341245">
        <w:t xml:space="preserve">Gerekend is met een vermogen van 270 wattpiek per paneel. Dit levert in de huidige markt een goede totaalprijs per </w:t>
      </w:r>
      <w:r>
        <w:t>systeem</w:t>
      </w:r>
      <w:r w:rsidRPr="00341245">
        <w:t>.</w:t>
      </w:r>
    </w:p>
    <w:p w14:paraId="74D7A28C" w14:textId="77777777" w:rsidR="00514BAA" w:rsidRDefault="00514BAA" w:rsidP="008108A0">
      <w:pPr>
        <w:rPr>
          <w:u w:val="single"/>
        </w:rPr>
      </w:pPr>
    </w:p>
    <w:p w14:paraId="2006523C" w14:textId="77777777" w:rsidR="00514BAA" w:rsidRDefault="00514BAA">
      <w:pPr>
        <w:rPr>
          <w:u w:val="single"/>
        </w:rPr>
      </w:pPr>
      <w:r>
        <w:rPr>
          <w:u w:val="single"/>
        </w:rPr>
        <w:br w:type="page"/>
      </w:r>
    </w:p>
    <w:p w14:paraId="03804E71" w14:textId="796CBB09" w:rsidR="008108A0" w:rsidRPr="00DB1274" w:rsidRDefault="008108A0" w:rsidP="008108A0">
      <w:pPr>
        <w:rPr>
          <w:u w:val="single"/>
        </w:rPr>
      </w:pPr>
      <w:r w:rsidRPr="00DB1274">
        <w:rPr>
          <w:u w:val="single"/>
        </w:rPr>
        <w:lastRenderedPageBreak/>
        <w:t>Investering</w:t>
      </w:r>
      <w:r w:rsidR="00341245">
        <w:rPr>
          <w:u w:val="single"/>
        </w:rPr>
        <w:t xml:space="preserve"> (rij 3/4/5/6)</w:t>
      </w:r>
    </w:p>
    <w:p w14:paraId="6C4DF873" w14:textId="19B272F3" w:rsidR="008108A0" w:rsidRDefault="00DE0E80" w:rsidP="008108A0">
      <w:r>
        <w:t xml:space="preserve">In de scope van de </w:t>
      </w:r>
      <w:r w:rsidR="00020225">
        <w:t xml:space="preserve">investering </w:t>
      </w:r>
      <w:r>
        <w:t xml:space="preserve">zit hetgeen </w:t>
      </w:r>
      <w:r w:rsidR="00B85856">
        <w:t>Zonnighuren</w:t>
      </w:r>
      <w:r>
        <w:t xml:space="preserve"> standaard eist in bestekken (voorbeeldbestek is  gedeeld met corporaties)</w:t>
      </w:r>
      <w:r w:rsidR="008108A0">
        <w:t>:</w:t>
      </w:r>
    </w:p>
    <w:p w14:paraId="09646A34" w14:textId="3F108EBC" w:rsidR="00215389" w:rsidRDefault="00215389" w:rsidP="008108A0">
      <w:pPr>
        <w:pStyle w:val="Lijstalinea"/>
        <w:numPr>
          <w:ilvl w:val="0"/>
          <w:numId w:val="14"/>
        </w:numPr>
      </w:pPr>
      <w:r>
        <w:t xml:space="preserve">Keuze panelen: </w:t>
      </w:r>
      <w:r w:rsidR="008108A0">
        <w:t>zw</w:t>
      </w:r>
      <w:r>
        <w:t xml:space="preserve">arte panelen zijn iets duurder. In de projecten van </w:t>
      </w:r>
      <w:r w:rsidR="00B85856">
        <w:t>Zonnighuren</w:t>
      </w:r>
      <w:r>
        <w:t xml:space="preserve"> kiezen opdrachtgevers meestal voor zwarte panelen met zwarte rand (</w:t>
      </w:r>
      <w:proofErr w:type="spellStart"/>
      <w:r>
        <w:t>all</w:t>
      </w:r>
      <w:proofErr w:type="spellEnd"/>
      <w:r>
        <w:t>-black panelen).</w:t>
      </w:r>
      <w:r w:rsidR="0026257D">
        <w:t xml:space="preserve"> Voor kwaliteit van de panelen wordt </w:t>
      </w:r>
      <w:proofErr w:type="spellStart"/>
      <w:r w:rsidR="0026257D">
        <w:t>geeist</w:t>
      </w:r>
      <w:proofErr w:type="spellEnd"/>
      <w:r w:rsidR="0026257D">
        <w:t xml:space="preserve"> Tier 1 (internationale standaard) in combinatie met een bepaald afzetvolume, bijvoorbeeld de top-20-internationale leveranciers.</w:t>
      </w:r>
    </w:p>
    <w:p w14:paraId="45C948AD" w14:textId="3E7284BB" w:rsidR="00215389" w:rsidRPr="00514BAA" w:rsidRDefault="00215389" w:rsidP="00D651AB">
      <w:pPr>
        <w:pStyle w:val="Lijstalinea"/>
        <w:numPr>
          <w:ilvl w:val="0"/>
          <w:numId w:val="14"/>
        </w:numPr>
      </w:pPr>
      <w:r>
        <w:t xml:space="preserve">Keuze omvormer: </w:t>
      </w:r>
      <w:r w:rsidR="008108A0">
        <w:t>micro-omvormers geven meer opbrengst bij schaduw maar zijn duurder</w:t>
      </w:r>
      <w:r>
        <w:t xml:space="preserve"> in de aanschaf. Een reguliere omvormer heeft vaak 10 jaar garantie en dient daarna dus een keer vervangen te worden. Zonnighuren gaat in bestekken uit van een omvormer met een fysieke display t.b.v. </w:t>
      </w:r>
      <w:r w:rsidRPr="00514BAA">
        <w:t>aflezen van de opbrengsten door bewoners zonder dat hiervoor internet/smartphone/pc nodig is.</w:t>
      </w:r>
      <w:r w:rsidR="00654181" w:rsidRPr="00514BAA">
        <w:t xml:space="preserve"> SMA is hierin een duur merk met een goede reputatie, echter ook andere merken (bijvoorbeeld </w:t>
      </w:r>
      <w:proofErr w:type="spellStart"/>
      <w:r w:rsidR="00654181" w:rsidRPr="00514BAA">
        <w:t>goodwe</w:t>
      </w:r>
      <w:proofErr w:type="spellEnd"/>
      <w:r w:rsidR="00654181" w:rsidRPr="00514BAA">
        <w:t xml:space="preserve">, </w:t>
      </w:r>
      <w:proofErr w:type="spellStart"/>
      <w:r w:rsidR="00654181" w:rsidRPr="00514BAA">
        <w:t>omnik</w:t>
      </w:r>
      <w:proofErr w:type="spellEnd"/>
      <w:r w:rsidR="00654181" w:rsidRPr="00514BAA">
        <w:t xml:space="preserve">, </w:t>
      </w:r>
      <w:proofErr w:type="spellStart"/>
      <w:r w:rsidR="00654181" w:rsidRPr="00514BAA">
        <w:t>zeversolar</w:t>
      </w:r>
      <w:proofErr w:type="spellEnd"/>
      <w:r w:rsidR="00654181" w:rsidRPr="00514BAA">
        <w:t>) worden internationaal in diverse projecten goed ervaren.</w:t>
      </w:r>
    </w:p>
    <w:p w14:paraId="69BBCD3C" w14:textId="402A6D35" w:rsidR="00215389" w:rsidRPr="00514BAA" w:rsidRDefault="00215389" w:rsidP="00215389">
      <w:pPr>
        <w:pStyle w:val="Lijstalinea"/>
        <w:numPr>
          <w:ilvl w:val="0"/>
          <w:numId w:val="14"/>
        </w:numPr>
      </w:pPr>
      <w:r w:rsidRPr="00514BAA">
        <w:t xml:space="preserve">Installatiekosten </w:t>
      </w:r>
      <w:r w:rsidR="008E4436">
        <w:t>op basis van</w:t>
      </w:r>
      <w:r w:rsidRPr="00514BAA">
        <w:t xml:space="preserve"> meestal schuin dak (ervaringscijfer bij schouw van 4.600 woningen </w:t>
      </w:r>
      <w:r w:rsidR="00020225" w:rsidRPr="00514BAA">
        <w:t xml:space="preserve">van 5 corporaties </w:t>
      </w:r>
      <w:r w:rsidRPr="00514BAA">
        <w:t>is dat 85 % van de voor zon geschikte woningen een schuin dak hebben)</w:t>
      </w:r>
      <w:r w:rsidR="00654181" w:rsidRPr="00514BAA">
        <w:t>. Bij plat dak zijn de kosten iets hoger omdat de panelen op een constructie in een hoek moeten worden geplaatst.</w:t>
      </w:r>
    </w:p>
    <w:p w14:paraId="741B356F" w14:textId="3E4B410B" w:rsidR="00215389" w:rsidRPr="00514BAA" w:rsidRDefault="00654181" w:rsidP="00654181">
      <w:pPr>
        <w:pStyle w:val="Lijstalinea"/>
        <w:numPr>
          <w:ilvl w:val="0"/>
          <w:numId w:val="14"/>
        </w:numPr>
      </w:pPr>
      <w:r w:rsidRPr="00514BAA">
        <w:t xml:space="preserve">Werk in de woning. In de regel dient een </w:t>
      </w:r>
      <w:r w:rsidR="00367AFA">
        <w:t xml:space="preserve">kabel getrokken te worden van +- 10 meter (kan verschillen per woning afhankelijk van het tracé) en dient een </w:t>
      </w:r>
      <w:r w:rsidRPr="00514BAA">
        <w:t xml:space="preserve">extra groep met automaat te worden geplaatst. In een beperkt aantal gevallen (ervaringscijfer </w:t>
      </w:r>
      <w:r w:rsidR="00052D3E">
        <w:t xml:space="preserve">van </w:t>
      </w:r>
      <w:r w:rsidR="00B85856">
        <w:t>Zonnighuren</w:t>
      </w:r>
      <w:r w:rsidR="00052D3E">
        <w:t xml:space="preserve"> </w:t>
      </w:r>
      <w:r w:rsidRPr="00514BAA">
        <w:t>5 %) dient de gehele groepenkast te worden vervangen. Hiervan is 125 euro opgenomen. Als de gehele groepenkast vervangen moet worden, is overigens volgens MOED een discussie te voeren of deze kosten in de businesscase zonnepanelen vallen of dat deze onder onderhoud zouden vallen (</w:t>
      </w:r>
      <w:r w:rsidR="00215389" w:rsidRPr="00514BAA">
        <w:t>sowieso een keer</w:t>
      </w:r>
      <w:r w:rsidRPr="00514BAA">
        <w:t xml:space="preserve"> nodig om de ins</w:t>
      </w:r>
      <w:r w:rsidR="00215389" w:rsidRPr="00514BAA">
        <w:t>tallatie “naar</w:t>
      </w:r>
      <w:r w:rsidRPr="00514BAA">
        <w:t xml:space="preserve"> deze tijd te halen”.)</w:t>
      </w:r>
      <w:r w:rsidR="00052D3E">
        <w:t xml:space="preserve"> In de pilot van Tiwos van 260 woningen </w:t>
      </w:r>
      <w:r w:rsidR="00367AFA">
        <w:t xml:space="preserve">kwam vervangen van de gehele groepenkast nooit voor. </w:t>
      </w:r>
    </w:p>
    <w:p w14:paraId="179E46B7" w14:textId="77777777" w:rsidR="00654181" w:rsidRPr="00514BAA" w:rsidRDefault="00215389" w:rsidP="00215389">
      <w:pPr>
        <w:pStyle w:val="Lijstalinea"/>
        <w:numPr>
          <w:ilvl w:val="0"/>
          <w:numId w:val="14"/>
        </w:numPr>
      </w:pPr>
      <w:r w:rsidRPr="00514BAA">
        <w:t>Installatie is inclusief bedrade cat5e-verbinding tussen omvormer en internet</w:t>
      </w:r>
      <w:r w:rsidR="00654181" w:rsidRPr="00514BAA">
        <w:t>aansluiting</w:t>
      </w:r>
      <w:r w:rsidRPr="00514BAA">
        <w:t xml:space="preserve"> van</w:t>
      </w:r>
      <w:r w:rsidR="00654181" w:rsidRPr="00514BAA">
        <w:t xml:space="preserve"> de </w:t>
      </w:r>
      <w:r w:rsidRPr="00514BAA">
        <w:t xml:space="preserve"> huurder,</w:t>
      </w:r>
      <w:r w:rsidR="00654181" w:rsidRPr="00514BAA">
        <w:t xml:space="preserve"> dit blijkt in de praktijk de beste manier om de opbrengsten goed en goedkoop te kunnen bewaken.</w:t>
      </w:r>
    </w:p>
    <w:p w14:paraId="52DDE506" w14:textId="7936B0FC" w:rsidR="00215389" w:rsidRPr="00514BAA" w:rsidRDefault="00DE0E80" w:rsidP="00215389">
      <w:pPr>
        <w:pStyle w:val="Lijstalinea"/>
        <w:numPr>
          <w:ilvl w:val="0"/>
          <w:numId w:val="14"/>
        </w:numPr>
      </w:pPr>
      <w:r>
        <w:t>P</w:t>
      </w:r>
      <w:r w:rsidR="00215389" w:rsidRPr="00514BAA">
        <w:t xml:space="preserve">roductgarantie </w:t>
      </w:r>
      <w:r w:rsidR="00654181" w:rsidRPr="00514BAA">
        <w:t xml:space="preserve">op panelen en </w:t>
      </w:r>
      <w:r w:rsidR="00215389" w:rsidRPr="00514BAA">
        <w:t>omvormer</w:t>
      </w:r>
      <w:r w:rsidR="00654181" w:rsidRPr="00514BAA">
        <w:t>s</w:t>
      </w:r>
      <w:r w:rsidR="00215389" w:rsidRPr="00514BAA">
        <w:t xml:space="preserve"> </w:t>
      </w:r>
      <w:r w:rsidR="00654181" w:rsidRPr="00514BAA">
        <w:t xml:space="preserve">van 25 en </w:t>
      </w:r>
      <w:r w:rsidR="00215389" w:rsidRPr="00514BAA">
        <w:t>10 jaar, opbrengstgarantie in ieder geval gedurende eerste jaar.</w:t>
      </w:r>
    </w:p>
    <w:p w14:paraId="05D81DE9" w14:textId="7218F38A" w:rsidR="008108A0" w:rsidRDefault="008108A0" w:rsidP="008108A0">
      <w:pPr>
        <w:pStyle w:val="Lijstalinea"/>
        <w:numPr>
          <w:ilvl w:val="0"/>
          <w:numId w:val="14"/>
        </w:numPr>
      </w:pPr>
      <w:r w:rsidRPr="00514BAA">
        <w:t>Planbaarheid voor de installateur: voor de installateur is belangrijk dat hij meerdere woningen op een dag kan uitvoeren</w:t>
      </w:r>
      <w:r w:rsidR="007300F8" w:rsidRPr="00514BAA">
        <w:t xml:space="preserve"> en langere tijd werk heeft</w:t>
      </w:r>
      <w:r w:rsidRPr="00514BAA">
        <w:t xml:space="preserve">. Derhalve zijn de installatiekosten lager bij projecten waarin diverse woningen gegroepeerd in een gebied als </w:t>
      </w:r>
      <w:r w:rsidR="00D219CC" w:rsidRPr="00514BAA">
        <w:t>Tilburg</w:t>
      </w:r>
      <w:r w:rsidRPr="00514BAA">
        <w:t xml:space="preserve"> </w:t>
      </w:r>
      <w:r>
        <w:t>worden aangeleverd.</w:t>
      </w:r>
    </w:p>
    <w:p w14:paraId="2EFDBD9B" w14:textId="77777777" w:rsidR="00D45100" w:rsidRDefault="00D45100" w:rsidP="008108A0">
      <w:pPr>
        <w:rPr>
          <w:u w:val="single"/>
        </w:rPr>
      </w:pPr>
    </w:p>
    <w:p w14:paraId="0B3D3E3F" w14:textId="77777777" w:rsidR="00CC1377" w:rsidRDefault="00CC1377">
      <w:pPr>
        <w:rPr>
          <w:u w:val="single"/>
        </w:rPr>
      </w:pPr>
      <w:r>
        <w:rPr>
          <w:u w:val="single"/>
        </w:rPr>
        <w:br w:type="page"/>
      </w:r>
    </w:p>
    <w:p w14:paraId="26811AC9" w14:textId="41654B77" w:rsidR="00DE0E80" w:rsidRPr="00DE0E80" w:rsidRDefault="00DE0E80" w:rsidP="00F45292">
      <w:pPr>
        <w:rPr>
          <w:u w:val="single"/>
        </w:rPr>
      </w:pPr>
      <w:r w:rsidRPr="00DE0E80">
        <w:rPr>
          <w:u w:val="single"/>
        </w:rPr>
        <w:lastRenderedPageBreak/>
        <w:t>Referentie investering</w:t>
      </w:r>
      <w:r w:rsidR="000E1632">
        <w:rPr>
          <w:u w:val="single"/>
        </w:rPr>
        <w:t>sbedragen</w:t>
      </w:r>
    </w:p>
    <w:p w14:paraId="4F250A07" w14:textId="0C8F18BB" w:rsidR="00F45292" w:rsidRDefault="00367AFA" w:rsidP="00DE0E80">
      <w:pPr>
        <w:pStyle w:val="Lijstalinea"/>
        <w:numPr>
          <w:ilvl w:val="0"/>
          <w:numId w:val="14"/>
        </w:numPr>
      </w:pPr>
      <w:r w:rsidRPr="00F45292">
        <w:t xml:space="preserve">De genoemde investering is conform de adviespraktijk van </w:t>
      </w:r>
      <w:r w:rsidR="00B85856">
        <w:t>Zonnighuren</w:t>
      </w:r>
      <w:r w:rsidRPr="00F45292">
        <w:t xml:space="preserve"> (aanbesteding</w:t>
      </w:r>
      <w:r w:rsidR="00F45292" w:rsidRPr="00F45292">
        <w:t>en</w:t>
      </w:r>
      <w:r w:rsidRPr="00F45292">
        <w:t xml:space="preserve"> in 2015 voor </w:t>
      </w:r>
      <w:proofErr w:type="spellStart"/>
      <w:r w:rsidRPr="00F45292">
        <w:t>kennemerwonen</w:t>
      </w:r>
      <w:proofErr w:type="spellEnd"/>
      <w:r w:rsidRPr="00F45292">
        <w:t xml:space="preserve">, </w:t>
      </w:r>
      <w:proofErr w:type="spellStart"/>
      <w:r w:rsidRPr="00F45292">
        <w:t>vestia</w:t>
      </w:r>
      <w:proofErr w:type="spellEnd"/>
      <w:r w:rsidRPr="00F45292">
        <w:t xml:space="preserve">, </w:t>
      </w:r>
      <w:proofErr w:type="spellStart"/>
      <w:r w:rsidRPr="00F45292">
        <w:t>bouwinvest</w:t>
      </w:r>
      <w:proofErr w:type="spellEnd"/>
      <w:r w:rsidRPr="00F45292">
        <w:t xml:space="preserve">, woonstichting hulst, </w:t>
      </w:r>
      <w:proofErr w:type="spellStart"/>
      <w:r w:rsidR="00F45292" w:rsidRPr="00F45292">
        <w:t>centrada</w:t>
      </w:r>
      <w:proofErr w:type="spellEnd"/>
      <w:r w:rsidR="00F45292" w:rsidRPr="00F45292">
        <w:t xml:space="preserve">, </w:t>
      </w:r>
      <w:proofErr w:type="spellStart"/>
      <w:r w:rsidR="00F45292" w:rsidRPr="00F45292">
        <w:t>eemland</w:t>
      </w:r>
      <w:proofErr w:type="spellEnd"/>
      <w:r w:rsidR="00F45292" w:rsidRPr="00F45292">
        <w:t xml:space="preserve"> wonen). </w:t>
      </w:r>
    </w:p>
    <w:p w14:paraId="626EA632" w14:textId="6BD76D2E" w:rsidR="00F45292" w:rsidRDefault="00DE0E80" w:rsidP="00DE0E80">
      <w:pPr>
        <w:pStyle w:val="Lijstalinea"/>
        <w:numPr>
          <w:ilvl w:val="0"/>
          <w:numId w:val="14"/>
        </w:numPr>
      </w:pPr>
      <w:r>
        <w:t xml:space="preserve">Tiwos noemde </w:t>
      </w:r>
      <w:r w:rsidR="00F45292" w:rsidRPr="00F45292">
        <w:t xml:space="preserve">een investering van 26 % meer </w:t>
      </w:r>
      <w:r w:rsidR="008E4436">
        <w:t>op basis van</w:t>
      </w:r>
      <w:r w:rsidR="00F45292" w:rsidRPr="00F45292">
        <w:t xml:space="preserve"> hun pilotproject met 260 woningen. Dit prijsverschil is te verklaren </w:t>
      </w:r>
      <w:r w:rsidR="008E4436">
        <w:t>op basis van</w:t>
      </w:r>
      <w:r w:rsidR="00F45292" w:rsidRPr="00F45292">
        <w:t xml:space="preserve"> andere uitgangspunten (Tiwos koos voor esthetisch zeer fraaie en dure panelen, micro-omvormers, vroeg prijzen bij 3 huisaannemers, had een kleinere schaal dan de projecten van </w:t>
      </w:r>
      <w:r w:rsidR="00B85856">
        <w:t>Zonnighuren</w:t>
      </w:r>
      <w:r w:rsidR="00F45292" w:rsidRPr="00F45292">
        <w:t>, en de prijzen zijn van begin 2014 naar eind 2015 iets gedaald).</w:t>
      </w:r>
    </w:p>
    <w:p w14:paraId="14133BF7" w14:textId="0776422B" w:rsidR="00DE0E80" w:rsidRDefault="00DE0E80" w:rsidP="00DE0E80">
      <w:pPr>
        <w:pStyle w:val="Lijstalinea"/>
        <w:numPr>
          <w:ilvl w:val="0"/>
          <w:numId w:val="14"/>
        </w:numPr>
      </w:pPr>
      <w:r>
        <w:t xml:space="preserve">Onderzoek onder 40 corporaties en beleggers, </w:t>
      </w:r>
      <w:r w:rsidR="00CC1377">
        <w:t xml:space="preserve">geeft een gemiddeld bedrag van </w:t>
      </w:r>
      <w:r>
        <w:t xml:space="preserve">440 euro per paneel </w:t>
      </w:r>
      <w:proofErr w:type="spellStart"/>
      <w:r>
        <w:t>allin</w:t>
      </w:r>
      <w:proofErr w:type="spellEnd"/>
      <w:r w:rsidR="00CC1377">
        <w:t xml:space="preserve"> hetgeen 3% lager is dan waarmee gerekend is</w:t>
      </w:r>
      <w:r w:rsidR="00CC1377">
        <w:rPr>
          <w:rStyle w:val="Voetnootmarkering"/>
        </w:rPr>
        <w:footnoteReference w:id="1"/>
      </w:r>
    </w:p>
    <w:p w14:paraId="21B6A102" w14:textId="7C9CA622" w:rsidR="00367AFA" w:rsidRDefault="00CB5514" w:rsidP="00CC1377">
      <w:pPr>
        <w:pStyle w:val="Lijstalinea"/>
        <w:numPr>
          <w:ilvl w:val="0"/>
          <w:numId w:val="14"/>
        </w:numPr>
      </w:pPr>
      <w:r>
        <w:t xml:space="preserve">Via </w:t>
      </w:r>
      <w:proofErr w:type="spellStart"/>
      <w:r>
        <w:t>zonniglimburg</w:t>
      </w:r>
      <w:proofErr w:type="spellEnd"/>
      <w:r>
        <w:t>, een inkoopcollectief van Limburgse corporaties, bereiken ons ook geluiden van lagere prijzen (20 tot 30 %</w:t>
      </w:r>
      <w:r w:rsidR="00CC1377">
        <w:t xml:space="preserve"> lager</w:t>
      </w:r>
      <w:r>
        <w:t>).</w:t>
      </w:r>
    </w:p>
    <w:p w14:paraId="1AC41856" w14:textId="660CEE84" w:rsidR="00CB5514" w:rsidRDefault="00CB5514">
      <w:pPr>
        <w:rPr>
          <w:u w:val="single"/>
        </w:rPr>
      </w:pPr>
    </w:p>
    <w:p w14:paraId="575F9D01" w14:textId="19273970" w:rsidR="00D45100" w:rsidRDefault="007300F8" w:rsidP="008108A0">
      <w:pPr>
        <w:rPr>
          <w:u w:val="single"/>
        </w:rPr>
      </w:pPr>
      <w:r>
        <w:rPr>
          <w:u w:val="single"/>
        </w:rPr>
        <w:t>Proceskosten werving</w:t>
      </w:r>
      <w:r w:rsidR="000E1632">
        <w:rPr>
          <w:u w:val="single"/>
        </w:rPr>
        <w:t xml:space="preserve"> (rij 6)</w:t>
      </w:r>
    </w:p>
    <w:p w14:paraId="130BD32C" w14:textId="3223C2A8" w:rsidR="000E1632" w:rsidRDefault="000E1632" w:rsidP="007300F8">
      <w:r>
        <w:t>Het gaat hier om zowel interne tijd als inhuur</w:t>
      </w:r>
      <w:r w:rsidR="00405788">
        <w:t xml:space="preserve"> van onafhankelijke adviseurs</w:t>
      </w:r>
      <w:r>
        <w:t>.</w:t>
      </w:r>
    </w:p>
    <w:p w14:paraId="47255788" w14:textId="47B0F59B" w:rsidR="007300F8" w:rsidRDefault="007300F8" w:rsidP="007300F8">
      <w:r w:rsidRPr="007300F8">
        <w:t>I</w:t>
      </w:r>
      <w:r>
        <w:t>n de regel zijn de volgende activiteiten aan de orde:</w:t>
      </w:r>
    </w:p>
    <w:p w14:paraId="51CD5690" w14:textId="4BF77D06" w:rsidR="007300F8" w:rsidRDefault="007300F8" w:rsidP="007300F8">
      <w:pPr>
        <w:pStyle w:val="Lijstalinea"/>
        <w:numPr>
          <w:ilvl w:val="0"/>
          <w:numId w:val="14"/>
        </w:numPr>
      </w:pPr>
      <w:r>
        <w:t>schouwen van woningen: geschiktheid dak, schaduw, verwachten opbrengst: 2</w:t>
      </w:r>
      <w:r w:rsidRPr="007300F8">
        <w:t xml:space="preserve"> euro per </w:t>
      </w:r>
      <w:r w:rsidR="001D283B">
        <w:t>geschouwde woning. D</w:t>
      </w:r>
      <w:r w:rsidRPr="007300F8">
        <w:t xml:space="preserve">us bij </w:t>
      </w:r>
      <w:r w:rsidR="001D283B">
        <w:t>4</w:t>
      </w:r>
      <w:r w:rsidRPr="007300F8">
        <w:t xml:space="preserve">0 % </w:t>
      </w:r>
      <w:r w:rsidR="001D283B">
        <w:t xml:space="preserve">realisatie in een paar jaar: 10 </w:t>
      </w:r>
      <w:r w:rsidRPr="007300F8">
        <w:t xml:space="preserve">euro), </w:t>
      </w:r>
    </w:p>
    <w:p w14:paraId="7CD2DAC6" w14:textId="571E6257" w:rsidR="007300F8" w:rsidRDefault="007300F8" w:rsidP="00D651AB">
      <w:pPr>
        <w:pStyle w:val="Lijstalinea"/>
        <w:numPr>
          <w:ilvl w:val="0"/>
          <w:numId w:val="14"/>
        </w:numPr>
      </w:pPr>
      <w:r w:rsidRPr="007300F8">
        <w:t>aanbesteding,</w:t>
      </w:r>
      <w:r>
        <w:t xml:space="preserve"> en promotie (</w:t>
      </w:r>
      <w:r w:rsidRPr="007300F8">
        <w:t>website/folder, werving brief</w:t>
      </w:r>
      <w:r>
        <w:t>): deze kosten zijn</w:t>
      </w:r>
      <w:r w:rsidRPr="007300F8">
        <w:t xml:space="preserve"> sterk afhankelijk van concentratie aangeschreven huurders (k</w:t>
      </w:r>
      <w:r>
        <w:t xml:space="preserve">osten </w:t>
      </w:r>
      <w:r w:rsidR="001D283B">
        <w:t xml:space="preserve">zijn in hoge mate </w:t>
      </w:r>
      <w:proofErr w:type="spellStart"/>
      <w:r w:rsidR="001D283B">
        <w:t>fixed</w:t>
      </w:r>
      <w:proofErr w:type="spellEnd"/>
      <w:r w:rsidR="001D283B">
        <w:t>). Stel 4</w:t>
      </w:r>
      <w:r>
        <w:t xml:space="preserve">0.000 euro, bij een deelname van </w:t>
      </w:r>
      <w:r w:rsidR="001D283B">
        <w:t xml:space="preserve">2.600 woningen in een paar jaar </w:t>
      </w:r>
      <w:r>
        <w:t xml:space="preserve">zijn de kosten </w:t>
      </w:r>
      <w:r w:rsidR="001D283B">
        <w:t>15 euro per woning</w:t>
      </w:r>
    </w:p>
    <w:p w14:paraId="1354F10F" w14:textId="0E5B68EF" w:rsidR="007300F8" w:rsidRDefault="007300F8" w:rsidP="00D651AB">
      <w:pPr>
        <w:pStyle w:val="Lijstalinea"/>
        <w:numPr>
          <w:ilvl w:val="0"/>
          <w:numId w:val="14"/>
        </w:numPr>
      </w:pPr>
      <w:r>
        <w:t>contact met huurders: inloopbijeenkomsten, binnenkomende vragen beantwoorden, nabellen / de deuren langs gaan: afhankelijk van de intensiteit van benaderen kan een kostenpost van 10 tot 50 euro worden aangehouden</w:t>
      </w:r>
      <w:r w:rsidR="000E1632">
        <w:t>. Steeds meer leveranciers bieden aan dit voor hun eigen rekening te doen, om zo invloed te kunnen uitoefenen op de planning. Ze combineren feitelijk de promotie en de technische voorschouw.</w:t>
      </w:r>
    </w:p>
    <w:p w14:paraId="209F5F20" w14:textId="127317BE" w:rsidR="007300F8" w:rsidRDefault="007300F8" w:rsidP="00D651AB">
      <w:pPr>
        <w:pStyle w:val="Lijstalinea"/>
        <w:numPr>
          <w:ilvl w:val="0"/>
          <w:numId w:val="14"/>
        </w:numPr>
      </w:pPr>
      <w:r>
        <w:t xml:space="preserve"> </w:t>
      </w:r>
      <w:r w:rsidRPr="007300F8">
        <w:t>interne administratie</w:t>
      </w:r>
      <w:r>
        <w:t>kosten</w:t>
      </w:r>
      <w:r w:rsidRPr="007300F8">
        <w:t xml:space="preserve"> corporatie</w:t>
      </w:r>
      <w:r>
        <w:t xml:space="preserve"> en projectmanagement op de uitvoering: stel 20 euro per woning</w:t>
      </w:r>
    </w:p>
    <w:p w14:paraId="706FF767" w14:textId="76F0F178" w:rsidR="007300F8" w:rsidRDefault="007300F8" w:rsidP="00D651AB">
      <w:pPr>
        <w:pStyle w:val="Lijstalinea"/>
        <w:numPr>
          <w:ilvl w:val="0"/>
          <w:numId w:val="14"/>
        </w:numPr>
      </w:pPr>
      <w:r>
        <w:t>Totaal:</w:t>
      </w:r>
      <w:r w:rsidR="00405788">
        <w:t xml:space="preserve"> 55-95</w:t>
      </w:r>
      <w:r>
        <w:t xml:space="preserve"> euro per woning</w:t>
      </w:r>
    </w:p>
    <w:p w14:paraId="6ECB145E" w14:textId="116D88BF" w:rsidR="0026257D" w:rsidRDefault="0026257D" w:rsidP="0026257D">
      <w:r>
        <w:t xml:space="preserve">Bij </w:t>
      </w:r>
      <w:r w:rsidR="00405788">
        <w:t xml:space="preserve">tegenvallende respons tellen de </w:t>
      </w:r>
      <w:proofErr w:type="spellStart"/>
      <w:r w:rsidR="00405788">
        <w:t>fixed</w:t>
      </w:r>
      <w:proofErr w:type="spellEnd"/>
      <w:r w:rsidR="00405788">
        <w:t xml:space="preserve"> kosten zwaarder mee. Daarom is uitgegaan van 130 euro per woning. Bij 1.318 woningen (eerste 20 %) is hier dus een budget van 170.000 euro</w:t>
      </w:r>
      <w:r>
        <w:t>.</w:t>
      </w:r>
    </w:p>
    <w:p w14:paraId="6AE5D4E5" w14:textId="77777777" w:rsidR="0026257D" w:rsidRDefault="0026257D" w:rsidP="0026257D"/>
    <w:p w14:paraId="25C2207B" w14:textId="77777777" w:rsidR="007300F8" w:rsidRPr="007300F8" w:rsidRDefault="007300F8" w:rsidP="002060C7">
      <w:pPr>
        <w:ind w:left="360"/>
      </w:pPr>
    </w:p>
    <w:p w14:paraId="435598DB" w14:textId="77777777" w:rsidR="00A1457A" w:rsidRDefault="00A1457A">
      <w:pPr>
        <w:rPr>
          <w:u w:val="single"/>
        </w:rPr>
      </w:pPr>
      <w:r>
        <w:rPr>
          <w:u w:val="single"/>
        </w:rPr>
        <w:br w:type="page"/>
      </w:r>
    </w:p>
    <w:p w14:paraId="570D14A5" w14:textId="45D5D769" w:rsidR="008108A0" w:rsidRDefault="008108A0" w:rsidP="008108A0">
      <w:pPr>
        <w:rPr>
          <w:u w:val="single"/>
        </w:rPr>
      </w:pPr>
      <w:r>
        <w:rPr>
          <w:u w:val="single"/>
        </w:rPr>
        <w:lastRenderedPageBreak/>
        <w:t>Onderhoudskosten</w:t>
      </w:r>
      <w:r w:rsidR="000E1632">
        <w:rPr>
          <w:u w:val="single"/>
        </w:rPr>
        <w:t xml:space="preserve"> (rij 7</w:t>
      </w:r>
      <w:r w:rsidR="00A1457A">
        <w:rPr>
          <w:u w:val="single"/>
        </w:rPr>
        <w:t>, rij 8</w:t>
      </w:r>
      <w:r w:rsidR="000E1632">
        <w:rPr>
          <w:u w:val="single"/>
        </w:rPr>
        <w:t>)</w:t>
      </w:r>
    </w:p>
    <w:p w14:paraId="2BDDCF77" w14:textId="77777777" w:rsidR="008108A0" w:rsidRPr="00D06EC0" w:rsidRDefault="008108A0" w:rsidP="008108A0">
      <w:r w:rsidRPr="00D06EC0">
        <w:t>Zonnepanelen zijn in principe onderhoudsvrij, de baten van schoonmaken (3% meer opbrengst) wegen niet op tegen de kosten. Van belang is in de gaten te houden:</w:t>
      </w:r>
    </w:p>
    <w:p w14:paraId="776CD3AE" w14:textId="77777777" w:rsidR="008108A0" w:rsidRPr="00D06EC0" w:rsidRDefault="008108A0" w:rsidP="008108A0">
      <w:pPr>
        <w:pStyle w:val="Lijstalinea"/>
        <w:numPr>
          <w:ilvl w:val="0"/>
          <w:numId w:val="14"/>
        </w:numPr>
      </w:pPr>
      <w:r w:rsidRPr="00D06EC0">
        <w:t>Of de omvormer nog werkt</w:t>
      </w:r>
    </w:p>
    <w:p w14:paraId="2501B70B" w14:textId="77777777" w:rsidR="008108A0" w:rsidRPr="00D06EC0" w:rsidRDefault="008108A0" w:rsidP="008108A0">
      <w:pPr>
        <w:pStyle w:val="Lijstalinea"/>
        <w:numPr>
          <w:ilvl w:val="0"/>
          <w:numId w:val="14"/>
        </w:numPr>
      </w:pPr>
      <w:r w:rsidRPr="00D06EC0">
        <w:t>Of de opbrengst naar verwachting is.</w:t>
      </w:r>
    </w:p>
    <w:p w14:paraId="4DD7EC26" w14:textId="77777777" w:rsidR="008108A0" w:rsidRDefault="008108A0" w:rsidP="008108A0">
      <w:r w:rsidRPr="00D06EC0">
        <w:t xml:space="preserve"> </w:t>
      </w:r>
      <w:r>
        <w:t>Bij woningen wordt dit in de regel gedaan door de installatie aan internet te koppelen, via ofwel de internetverbinding van bewoner (liefst bedrade verbinding van omvormer naar router) ofwel via een brutoproductiemeter met gprs (onafhankelijk van internet van bewoner, echter maandelijkse kosten..).</w:t>
      </w:r>
    </w:p>
    <w:p w14:paraId="22835AD9" w14:textId="77777777" w:rsidR="00A1457A" w:rsidRDefault="00A1457A" w:rsidP="008108A0"/>
    <w:p w14:paraId="6E612A44" w14:textId="6FD34171" w:rsidR="007300F8" w:rsidRPr="00A1457A" w:rsidRDefault="008108A0" w:rsidP="008108A0">
      <w:r w:rsidRPr="00D06EC0">
        <w:t xml:space="preserve">Afhankelijk van de wensen van corporaties wordt met installateurs een </w:t>
      </w:r>
      <w:proofErr w:type="spellStart"/>
      <w:r w:rsidRPr="00D06EC0">
        <w:t>prestatie-contract</w:t>
      </w:r>
      <w:proofErr w:type="spellEnd"/>
      <w:r w:rsidRPr="00D06EC0">
        <w:t xml:space="preserve"> afgesloten t.a.v. de opbrengsten, ofwel een contract </w:t>
      </w:r>
      <w:r w:rsidR="008E4436">
        <w:t>op basis van</w:t>
      </w:r>
      <w:r w:rsidRPr="00D06EC0">
        <w:t xml:space="preserve"> oproepbasis (we bellen als er iets mis is).</w:t>
      </w:r>
      <w:r w:rsidR="00A1457A">
        <w:t xml:space="preserve"> In het rekenmodel is uitgegaan van een jaar garantie op de opbrengsten (en veel langere garantie op de materialen), en na afloop van het eerste jaar een contract </w:t>
      </w:r>
      <w:r w:rsidR="008E4436">
        <w:t>op basis van</w:t>
      </w:r>
      <w:r w:rsidR="00A1457A">
        <w:t xml:space="preserve"> oproepbasis. </w:t>
      </w:r>
      <w:r w:rsidR="00A1457A" w:rsidRPr="00A1457A">
        <w:t xml:space="preserve">Variant: bij een </w:t>
      </w:r>
      <w:r w:rsidR="007300F8" w:rsidRPr="00A1457A">
        <w:t xml:space="preserve">“harde” opbrengstgarantie </w:t>
      </w:r>
      <w:r w:rsidR="00A1457A" w:rsidRPr="00A1457A">
        <w:t>met volledig risico bij de installateur zijn de kosten eerder 40 tot 60 euro bij 6 tot 10 panelen.</w:t>
      </w:r>
    </w:p>
    <w:p w14:paraId="37B5A66B" w14:textId="77777777" w:rsidR="00A1457A" w:rsidRDefault="00A1457A">
      <w:pPr>
        <w:rPr>
          <w:u w:val="single"/>
        </w:rPr>
      </w:pPr>
    </w:p>
    <w:p w14:paraId="4D845721" w14:textId="77777777" w:rsidR="00A1457A" w:rsidRPr="00A1457A" w:rsidRDefault="00A1457A">
      <w:r w:rsidRPr="00A1457A">
        <w:t>De omvormers worden één keer vervangen tegen de dan geldende kosten.</w:t>
      </w:r>
    </w:p>
    <w:p w14:paraId="0E3C2C73" w14:textId="77777777" w:rsidR="00A1457A" w:rsidRDefault="00A1457A">
      <w:pPr>
        <w:rPr>
          <w:u w:val="single"/>
        </w:rPr>
      </w:pPr>
    </w:p>
    <w:p w14:paraId="7D5B3291" w14:textId="56A91193" w:rsidR="002060C7" w:rsidRDefault="002060C7" w:rsidP="008108A0">
      <w:pPr>
        <w:rPr>
          <w:u w:val="single"/>
        </w:rPr>
      </w:pPr>
      <w:r>
        <w:rPr>
          <w:u w:val="single"/>
        </w:rPr>
        <w:t xml:space="preserve">Opbrengst van de panelen </w:t>
      </w:r>
      <w:r w:rsidR="00341245">
        <w:rPr>
          <w:u w:val="single"/>
        </w:rPr>
        <w:t xml:space="preserve">in </w:t>
      </w:r>
      <w:r>
        <w:rPr>
          <w:u w:val="single"/>
        </w:rPr>
        <w:t>kwh per paneel</w:t>
      </w:r>
      <w:r w:rsidR="00341245">
        <w:rPr>
          <w:u w:val="single"/>
        </w:rPr>
        <w:t xml:space="preserve"> per jaar</w:t>
      </w:r>
      <w:r w:rsidR="00A1457A">
        <w:rPr>
          <w:u w:val="single"/>
        </w:rPr>
        <w:t xml:space="preserve"> (rij 10)</w:t>
      </w:r>
    </w:p>
    <w:p w14:paraId="756A7630" w14:textId="7DA6356C" w:rsidR="00B95238" w:rsidRDefault="00B95238" w:rsidP="008108A0">
      <w:r w:rsidRPr="00A45F49">
        <w:t xml:space="preserve">De opbrengst per paneel is ingeschat </w:t>
      </w:r>
      <w:r w:rsidR="00A45F49">
        <w:t>op basis van diverse bronnen.</w:t>
      </w:r>
    </w:p>
    <w:p w14:paraId="046BAACD" w14:textId="6A760C0B" w:rsidR="00B95238" w:rsidRDefault="00B95238" w:rsidP="00EA0304">
      <w:pPr>
        <w:pStyle w:val="Lijstalinea"/>
        <w:numPr>
          <w:ilvl w:val="0"/>
          <w:numId w:val="14"/>
        </w:numPr>
      </w:pPr>
      <w:r w:rsidRPr="00B95238">
        <w:t>Onderzoek van de universiteit van Utrecht onder particuliere eigenaren geeft een opbrengst van 0,875 kwh/ wattpiek vermogen</w:t>
      </w:r>
      <w:r w:rsidR="00A45F49">
        <w:t>, gemiddeld voor Nederland</w:t>
      </w:r>
      <w:r w:rsidR="00A45F49">
        <w:rPr>
          <w:rStyle w:val="Voetnootmarkering"/>
        </w:rPr>
        <w:footnoteReference w:id="2"/>
      </w:r>
      <w:r w:rsidRPr="00B95238">
        <w:t xml:space="preserve">. </w:t>
      </w:r>
      <w:r w:rsidR="008E4436">
        <w:t>Op basis van</w:t>
      </w:r>
      <w:r w:rsidRPr="00B95238">
        <w:t xml:space="preserve"> data van zoninstraling lijkt Tilburg +- 4 % meer zon te krijgen dan </w:t>
      </w:r>
      <w:r w:rsidR="0069120E">
        <w:t>de rest van Nederland, wat neer zou komen op 0,91 kwh/wattpiek</w:t>
      </w:r>
      <w:r w:rsidRPr="00B95238">
        <w:t>.</w:t>
      </w:r>
      <w:r w:rsidR="0069120E">
        <w:t xml:space="preserve"> Ook betreft dit systemen van pa</w:t>
      </w:r>
      <w:r w:rsidR="00A45F49">
        <w:t>rticulieren, waar van de corporatie een professionelere aanpak (niet in de schaduw leggen, goede garanties en monitoring) mag worden verwacht.</w:t>
      </w:r>
      <w:r w:rsidR="0069120E">
        <w:t xml:space="preserve"> Niet bekend is hoe oud de systemen zijn.</w:t>
      </w:r>
    </w:p>
    <w:p w14:paraId="37291DD1" w14:textId="6B83FDEE" w:rsidR="00E64BC2" w:rsidRDefault="00A45F49" w:rsidP="00EA0304">
      <w:pPr>
        <w:pStyle w:val="Lijstalinea"/>
        <w:numPr>
          <w:ilvl w:val="0"/>
          <w:numId w:val="14"/>
        </w:numPr>
        <w:autoSpaceDE w:val="0"/>
        <w:autoSpaceDN w:val="0"/>
        <w:adjustRightInd w:val="0"/>
      </w:pPr>
      <w:r w:rsidRPr="00E64BC2">
        <w:t xml:space="preserve">Recent kwam in diverse media dat 2015, net als vijf eerdere jaren, een zeer goed </w:t>
      </w:r>
      <w:proofErr w:type="spellStart"/>
      <w:r w:rsidRPr="00E64BC2">
        <w:t>zonjaar</w:t>
      </w:r>
      <w:proofErr w:type="spellEnd"/>
      <w:r w:rsidRPr="00E64BC2">
        <w:t xml:space="preserve"> was.</w:t>
      </w:r>
      <w:r w:rsidR="009F565B" w:rsidRPr="00E64BC2">
        <w:t xml:space="preserve"> Genoemd wordt een opbrengst van 0,93 kwh/wattpiek</w:t>
      </w:r>
      <w:r w:rsidR="00E64BC2">
        <w:rPr>
          <w:rStyle w:val="Voetnootmarkering"/>
        </w:rPr>
        <w:footnoteReference w:id="3"/>
      </w:r>
      <w:r w:rsidR="009F565B" w:rsidRPr="00E64BC2">
        <w:t>.</w:t>
      </w:r>
      <w:r w:rsidR="00E64BC2">
        <w:t xml:space="preserve"> Uit metingen van </w:t>
      </w:r>
      <w:r w:rsidR="00B85856">
        <w:t>Zonnighuren</w:t>
      </w:r>
      <w:r w:rsidR="00E64BC2">
        <w:t xml:space="preserve"> bij huurders van Centrada te Lelystad, een regio met minder zoninstraling dan Tilburg, komt over 2015 ook een waarde van 0,93 kwh/wattpiek.</w:t>
      </w:r>
    </w:p>
    <w:p w14:paraId="08D466CF" w14:textId="172AABD9" w:rsidR="00E64BC2" w:rsidRPr="00E64BC2" w:rsidRDefault="00E64BC2" w:rsidP="00E64BC2">
      <w:pPr>
        <w:pStyle w:val="Lijstalinea"/>
        <w:numPr>
          <w:ilvl w:val="0"/>
          <w:numId w:val="14"/>
        </w:numPr>
        <w:autoSpaceDE w:val="0"/>
        <w:autoSpaceDN w:val="0"/>
        <w:adjustRightInd w:val="0"/>
      </w:pPr>
      <w:r w:rsidRPr="00E64BC2">
        <w:t xml:space="preserve">Internationaal onderzoek geeft een jaarlijkse afname van de productie van 0,5 % [D.C. Jordan, S.R. </w:t>
      </w:r>
      <w:proofErr w:type="spellStart"/>
      <w:r w:rsidRPr="00E64BC2">
        <w:t>Kurtz</w:t>
      </w:r>
      <w:proofErr w:type="spellEnd"/>
      <w:r w:rsidRPr="00E64BC2">
        <w:t xml:space="preserve">, </w:t>
      </w:r>
      <w:proofErr w:type="spellStart"/>
      <w:r w:rsidRPr="00E64BC2">
        <w:t>photovoltaic</w:t>
      </w:r>
      <w:proofErr w:type="spellEnd"/>
      <w:r w:rsidRPr="00E64BC2">
        <w:t xml:space="preserve"> </w:t>
      </w:r>
      <w:proofErr w:type="spellStart"/>
      <w:r w:rsidRPr="00E64BC2">
        <w:t>degradation</w:t>
      </w:r>
      <w:proofErr w:type="spellEnd"/>
      <w:r w:rsidRPr="00E64BC2">
        <w:t xml:space="preserve"> </w:t>
      </w:r>
      <w:proofErr w:type="spellStart"/>
      <w:r w:rsidRPr="00E64BC2">
        <w:t>rates</w:t>
      </w:r>
      <w:proofErr w:type="spellEnd"/>
      <w:r w:rsidRPr="00E64BC2">
        <w:t xml:space="preserve"> – </w:t>
      </w:r>
      <w:proofErr w:type="spellStart"/>
      <w:r w:rsidRPr="00E64BC2">
        <w:t>photovoltaics</w:t>
      </w:r>
      <w:proofErr w:type="spellEnd"/>
      <w:r w:rsidRPr="00E64BC2">
        <w:t xml:space="preserve"> 21 (2013) 12-29</w:t>
      </w:r>
      <w:r w:rsidR="00341245">
        <w:t>. Leveranciers garanderen een maximale vermogensafname van 0,7 % per jaar lineair.</w:t>
      </w:r>
    </w:p>
    <w:p w14:paraId="70C1B428" w14:textId="77777777" w:rsidR="0069120E" w:rsidRDefault="0069120E" w:rsidP="008108A0">
      <w:pPr>
        <w:rPr>
          <w:u w:val="single"/>
        </w:rPr>
      </w:pPr>
    </w:p>
    <w:p w14:paraId="1913D42B" w14:textId="77777777" w:rsidR="0069120E" w:rsidRPr="0069120E" w:rsidRDefault="0069120E" w:rsidP="008108A0">
      <w:r w:rsidRPr="0069120E">
        <w:t>Op basis van bovengenoemde data is aangenomen:</w:t>
      </w:r>
    </w:p>
    <w:p w14:paraId="0970F094" w14:textId="77777777" w:rsidR="0069120E" w:rsidRPr="0069120E" w:rsidRDefault="0069120E" w:rsidP="0069120E">
      <w:pPr>
        <w:pStyle w:val="Lijstalinea"/>
        <w:numPr>
          <w:ilvl w:val="0"/>
          <w:numId w:val="14"/>
        </w:numPr>
      </w:pPr>
      <w:proofErr w:type="spellStart"/>
      <w:r w:rsidRPr="0069120E">
        <w:t>Initiele</w:t>
      </w:r>
      <w:proofErr w:type="spellEnd"/>
      <w:r w:rsidRPr="0069120E">
        <w:t xml:space="preserve"> opbrengst minimaal 0.92 kwh/wattpiek</w:t>
      </w:r>
    </w:p>
    <w:p w14:paraId="3AC1549F" w14:textId="77777777" w:rsidR="0069120E" w:rsidRPr="0069120E" w:rsidRDefault="0069120E" w:rsidP="0069120E">
      <w:pPr>
        <w:pStyle w:val="Lijstalinea"/>
        <w:numPr>
          <w:ilvl w:val="0"/>
          <w:numId w:val="14"/>
        </w:numPr>
      </w:pPr>
      <w:r w:rsidRPr="0069120E">
        <w:t>Jaarlijkse degradatie 0.5 %</w:t>
      </w:r>
    </w:p>
    <w:p w14:paraId="247CDFB3" w14:textId="47891230" w:rsidR="0069120E" w:rsidRDefault="0069120E" w:rsidP="0069120E">
      <w:pPr>
        <w:pStyle w:val="Lijstalinea"/>
        <w:numPr>
          <w:ilvl w:val="0"/>
          <w:numId w:val="14"/>
        </w:numPr>
        <w:rPr>
          <w:u w:val="single"/>
        </w:rPr>
      </w:pPr>
      <w:r w:rsidRPr="0069120E">
        <w:t xml:space="preserve">Gemiddelde opbrengst over 20 jaar dus: 0.92 min 10* 0.5 % = </w:t>
      </w:r>
      <w:r w:rsidR="00584E07">
        <w:t>0,</w:t>
      </w:r>
      <w:r w:rsidRPr="0069120E">
        <w:t>8</w:t>
      </w:r>
      <w:r w:rsidR="00584E07">
        <w:t>75</w:t>
      </w:r>
      <w:r w:rsidRPr="0069120E">
        <w:t xml:space="preserve"> kwh/wattpiek.</w:t>
      </w:r>
    </w:p>
    <w:p w14:paraId="4EC9B3C3" w14:textId="77777777" w:rsidR="00E64BC2" w:rsidRDefault="00E64BC2" w:rsidP="008108A0">
      <w:pPr>
        <w:rPr>
          <w:u w:val="single"/>
        </w:rPr>
      </w:pPr>
    </w:p>
    <w:p w14:paraId="5038DE63" w14:textId="3FB66F82" w:rsidR="00CC1377" w:rsidRDefault="00CC1377" w:rsidP="008108A0">
      <w:pPr>
        <w:rPr>
          <w:u w:val="single"/>
        </w:rPr>
      </w:pPr>
      <w:r>
        <w:rPr>
          <w:noProof/>
          <w:lang w:eastAsia="nl-NL"/>
        </w:rPr>
        <w:lastRenderedPageBreak/>
        <w:drawing>
          <wp:inline distT="0" distB="0" distL="0" distR="0" wp14:anchorId="54E0A332" wp14:editId="48E18E41">
            <wp:extent cx="2613887" cy="3078747"/>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3887" cy="3078747"/>
                    </a:xfrm>
                    <a:prstGeom prst="rect">
                      <a:avLst/>
                    </a:prstGeom>
                  </pic:spPr>
                </pic:pic>
              </a:graphicData>
            </a:graphic>
          </wp:inline>
        </w:drawing>
      </w:r>
    </w:p>
    <w:p w14:paraId="134829A0" w14:textId="10F16626" w:rsidR="002060C7" w:rsidRDefault="002060C7" w:rsidP="008108A0">
      <w:pPr>
        <w:rPr>
          <w:u w:val="single"/>
        </w:rPr>
      </w:pPr>
      <w:r>
        <w:rPr>
          <w:u w:val="single"/>
        </w:rPr>
        <w:t xml:space="preserve">Opbrengst van de panelen – besparing </w:t>
      </w:r>
      <w:r w:rsidR="00584E07">
        <w:rPr>
          <w:u w:val="single"/>
        </w:rPr>
        <w:t xml:space="preserve">euro </w:t>
      </w:r>
      <w:r>
        <w:rPr>
          <w:u w:val="single"/>
        </w:rPr>
        <w:t>per kwh</w:t>
      </w:r>
      <w:r w:rsidR="00584E07">
        <w:rPr>
          <w:u w:val="single"/>
        </w:rPr>
        <w:t xml:space="preserve"> (rij 11)</w:t>
      </w:r>
    </w:p>
    <w:p w14:paraId="3DCC3A9C" w14:textId="56432781" w:rsidR="00434900" w:rsidRPr="00434900" w:rsidRDefault="008D46A8" w:rsidP="008D46A8">
      <w:r w:rsidRPr="00434900">
        <w:t xml:space="preserve">Het is </w:t>
      </w:r>
      <w:r w:rsidR="00434900" w:rsidRPr="00434900">
        <w:t>duidelijk dat huurders die elk jaar opnieuw energie inkopen</w:t>
      </w:r>
      <w:r w:rsidRPr="00434900">
        <w:t xml:space="preserve"> een </w:t>
      </w:r>
      <w:proofErr w:type="spellStart"/>
      <w:r w:rsidRPr="00434900">
        <w:t>elektratief</w:t>
      </w:r>
      <w:proofErr w:type="spellEnd"/>
      <w:r w:rsidRPr="00434900">
        <w:t xml:space="preserve"> van 19 cent kunnen hale</w:t>
      </w:r>
      <w:r w:rsidR="00434900" w:rsidRPr="00434900">
        <w:t xml:space="preserve">n (zie </w:t>
      </w:r>
      <w:hyperlink r:id="rId10" w:history="1">
        <w:r w:rsidR="00434900" w:rsidRPr="008D0658">
          <w:rPr>
            <w:rStyle w:val="Hyperlink"/>
          </w:rPr>
          <w:t>www.gaslicht.com</w:t>
        </w:r>
      </w:hyperlink>
      <w:r w:rsidR="00434900" w:rsidRPr="00434900">
        <w:t>).</w:t>
      </w:r>
      <w:r w:rsidR="00434900">
        <w:t xml:space="preserve"> </w:t>
      </w:r>
      <w:r w:rsidRPr="00434900">
        <w:t xml:space="preserve">Echter, dit is een “shoptarief”. Uit onderzoek blijkt dat 55 % van de </w:t>
      </w:r>
      <w:proofErr w:type="spellStart"/>
      <w:r w:rsidRPr="00434900">
        <w:t>nederlanders</w:t>
      </w:r>
      <w:proofErr w:type="spellEnd"/>
      <w:r w:rsidRPr="00434900">
        <w:t xml:space="preserve"> minimaal 1 keer is overgestapt</w:t>
      </w:r>
      <w:r w:rsidR="00434900" w:rsidRPr="00434900">
        <w:t xml:space="preserve"> in de afgelopen 10 jaar</w:t>
      </w:r>
      <w:r w:rsidRPr="00434900">
        <w:t>, het afgelopen jaar was dat 12 %</w:t>
      </w:r>
      <w:r w:rsidR="00434900" w:rsidRPr="00434900">
        <w:t xml:space="preserve"> (bron: </w:t>
      </w:r>
      <w:hyperlink r:id="rId11" w:history="1">
        <w:r w:rsidR="00434900" w:rsidRPr="00434900">
          <w:rPr>
            <w:rStyle w:val="Hyperlink"/>
            <w:u w:val="none"/>
          </w:rPr>
          <w:t>https://www.gaslicht.com/nieuws/steeds-meer-consumenten-wisselen-van-energieleverancier</w:t>
        </w:r>
      </w:hyperlink>
      <w:r w:rsidR="00434900" w:rsidRPr="00434900">
        <w:t>)</w:t>
      </w:r>
      <w:r w:rsidRPr="00434900">
        <w:t>.</w:t>
      </w:r>
    </w:p>
    <w:p w14:paraId="3A39C247" w14:textId="5EF14D8F" w:rsidR="008D46A8" w:rsidRPr="00434900" w:rsidRDefault="008D46A8" w:rsidP="008D46A8">
      <w:r w:rsidRPr="00434900">
        <w:t xml:space="preserve"> Er is dus maar een zeer beperkte groep die jaarlijks switcht. De prijzen zijn dan ook vaak lager voor het eerste jaar</w:t>
      </w:r>
      <w:r w:rsidR="00434900" w:rsidRPr="00434900">
        <w:t xml:space="preserve"> en daarna weer hoger</w:t>
      </w:r>
      <w:r w:rsidRPr="00434900">
        <w:t>.</w:t>
      </w:r>
    </w:p>
    <w:p w14:paraId="08EE721B" w14:textId="4C5E1E29" w:rsidR="008D46A8" w:rsidRPr="008D46A8" w:rsidRDefault="008D46A8" w:rsidP="008D46A8">
      <w:pPr>
        <w:rPr>
          <w:u w:val="single"/>
        </w:rPr>
      </w:pPr>
    </w:p>
    <w:p w14:paraId="5C5B2AC9" w14:textId="539D5C89" w:rsidR="00434900" w:rsidRPr="00514BAA" w:rsidRDefault="00434900" w:rsidP="008D46A8">
      <w:r w:rsidRPr="00514BAA">
        <w:t xml:space="preserve">De ervaring van </w:t>
      </w:r>
      <w:r w:rsidR="00B85856">
        <w:t>Zonnighuren</w:t>
      </w:r>
      <w:r w:rsidRPr="00514BAA">
        <w:t xml:space="preserve"> (veel inloopavonden de energierekeningen met huurders doorgenomen)</w:t>
      </w:r>
      <w:r w:rsidR="008D46A8" w:rsidRPr="00514BAA">
        <w:t xml:space="preserve"> is dat veel huurders </w:t>
      </w:r>
      <w:r w:rsidRPr="00514BAA">
        <w:t xml:space="preserve"> met interesse in zonnepanelen:</w:t>
      </w:r>
    </w:p>
    <w:p w14:paraId="2C145FE2" w14:textId="77777777" w:rsidR="00434900" w:rsidRPr="00514BAA" w:rsidRDefault="00434900" w:rsidP="00434900">
      <w:pPr>
        <w:pStyle w:val="Lijstalinea"/>
        <w:numPr>
          <w:ilvl w:val="0"/>
          <w:numId w:val="14"/>
        </w:numPr>
      </w:pPr>
      <w:r w:rsidRPr="00514BAA">
        <w:t xml:space="preserve">trouw zijn aan de huidige energiemaatschappij en dus </w:t>
      </w:r>
      <w:r w:rsidR="008D46A8" w:rsidRPr="00514BAA">
        <w:t>21 cent of meer betalen</w:t>
      </w:r>
    </w:p>
    <w:p w14:paraId="3E9C21DE" w14:textId="44B87983" w:rsidR="008D46A8" w:rsidRPr="00514BAA" w:rsidRDefault="00434900" w:rsidP="00434900">
      <w:pPr>
        <w:pStyle w:val="Lijstalinea"/>
        <w:numPr>
          <w:ilvl w:val="0"/>
          <w:numId w:val="14"/>
        </w:numPr>
      </w:pPr>
      <w:r w:rsidRPr="00514BAA">
        <w:t xml:space="preserve">vaak </w:t>
      </w:r>
      <w:r w:rsidR="008D46A8" w:rsidRPr="00514BAA">
        <w:t xml:space="preserve">(duurdere) groene stroom hebben (aanbieding </w:t>
      </w:r>
      <w:proofErr w:type="spellStart"/>
      <w:r w:rsidR="008D46A8" w:rsidRPr="00514BAA">
        <w:t>greenchoice</w:t>
      </w:r>
      <w:proofErr w:type="spellEnd"/>
      <w:r w:rsidR="008D46A8" w:rsidRPr="00514BAA">
        <w:t xml:space="preserve"> is nu 19,8 cent).</w:t>
      </w:r>
    </w:p>
    <w:p w14:paraId="4FE0900E" w14:textId="5B1226EC" w:rsidR="00514BAA" w:rsidRPr="00514BAA" w:rsidRDefault="008D46A8" w:rsidP="008D46A8">
      <w:r w:rsidRPr="00514BAA">
        <w:t>I</w:t>
      </w:r>
      <w:r w:rsidR="00514BAA" w:rsidRPr="00514BAA">
        <w:t>n de businesscase is uitgegaan van 20 cent als gemiddelde.</w:t>
      </w:r>
    </w:p>
    <w:p w14:paraId="2F5BBF35" w14:textId="77777777" w:rsidR="007300F8" w:rsidRDefault="007300F8" w:rsidP="008108A0">
      <w:pPr>
        <w:rPr>
          <w:u w:val="single"/>
        </w:rPr>
      </w:pPr>
    </w:p>
    <w:p w14:paraId="5750EA1D" w14:textId="04DCE7B5" w:rsidR="008108A0" w:rsidRDefault="002060C7" w:rsidP="008108A0">
      <w:pPr>
        <w:rPr>
          <w:u w:val="single"/>
        </w:rPr>
      </w:pPr>
      <w:r>
        <w:rPr>
          <w:u w:val="single"/>
        </w:rPr>
        <w:t>V</w:t>
      </w:r>
      <w:r w:rsidR="008108A0">
        <w:rPr>
          <w:u w:val="single"/>
        </w:rPr>
        <w:t>oorstel voor huurders</w:t>
      </w:r>
      <w:r>
        <w:rPr>
          <w:u w:val="single"/>
        </w:rPr>
        <w:t xml:space="preserve"> – welk deel betalen de huurders</w:t>
      </w:r>
      <w:r w:rsidR="00614599">
        <w:rPr>
          <w:u w:val="single"/>
        </w:rPr>
        <w:t xml:space="preserve"> (rij 13 en 14)</w:t>
      </w:r>
    </w:p>
    <w:p w14:paraId="732839E5" w14:textId="39276F96" w:rsidR="008108A0" w:rsidRDefault="008108A0" w:rsidP="008108A0">
      <w:r>
        <w:t>Corporaties bieden de zonnepanelen vaak aan voor 40 tot 75 %  van de geraamde besparing (onderstaande tabel).</w:t>
      </w:r>
      <w:r w:rsidR="00614599">
        <w:t xml:space="preserve"> Hier is uitgegaan van 70 % bijdrage.</w:t>
      </w:r>
    </w:p>
    <w:p w14:paraId="1DE012BC" w14:textId="23CD243E" w:rsidR="00875008" w:rsidRDefault="00875008" w:rsidP="008108A0">
      <w:r>
        <w:t>Huurderving: 0,6 % per jaar is aangenomen (rekenmodel - rij 14)</w:t>
      </w:r>
      <w:r w:rsidR="00614599">
        <w:t>.</w:t>
      </w:r>
    </w:p>
    <w:p w14:paraId="29B1C486" w14:textId="77777777" w:rsidR="00614599" w:rsidRDefault="00614599" w:rsidP="008108A0"/>
    <w:p w14:paraId="39F52591" w14:textId="77777777" w:rsidR="001516A1" w:rsidRDefault="001516A1">
      <w:pPr>
        <w:rPr>
          <w:u w:val="single"/>
        </w:rPr>
      </w:pPr>
      <w:r>
        <w:rPr>
          <w:u w:val="single"/>
        </w:rPr>
        <w:br w:type="page"/>
      </w:r>
    </w:p>
    <w:p w14:paraId="50DDBAC9" w14:textId="4DBF830A" w:rsidR="00614599" w:rsidRPr="00614599" w:rsidRDefault="00614599" w:rsidP="00614599">
      <w:pPr>
        <w:rPr>
          <w:u w:val="single"/>
        </w:rPr>
      </w:pPr>
      <w:r w:rsidRPr="00614599">
        <w:rPr>
          <w:u w:val="single"/>
        </w:rPr>
        <w:lastRenderedPageBreak/>
        <w:t>Voordeel nieuwe huurder - wat gebeurt er bij mutatie van de woning</w:t>
      </w:r>
      <w:r w:rsidR="0007084E">
        <w:rPr>
          <w:u w:val="single"/>
        </w:rPr>
        <w:t xml:space="preserve"> (rij 17)</w:t>
      </w:r>
    </w:p>
    <w:p w14:paraId="6553968C" w14:textId="5101808B" w:rsidR="00614599" w:rsidRDefault="00614599" w:rsidP="00614599">
      <w:r>
        <w:t xml:space="preserve">Als de woning verkocht wordt is van belang of de investering terugkomt in de verkoopwaarde. Onderzoek </w:t>
      </w:r>
      <w:proofErr w:type="spellStart"/>
      <w:r>
        <w:t>suggerereert</w:t>
      </w:r>
      <w:proofErr w:type="spellEnd"/>
      <w:r>
        <w:t xml:space="preserve"> dat kopers zeker iets willen betalen voor zonnepanelen</w:t>
      </w:r>
      <w:r>
        <w:rPr>
          <w:rStyle w:val="Voetnootmarkering"/>
        </w:rPr>
        <w:footnoteReference w:id="4"/>
      </w:r>
      <w:r>
        <w:t>.</w:t>
      </w:r>
    </w:p>
    <w:p w14:paraId="50178346" w14:textId="77777777" w:rsidR="00614599" w:rsidRDefault="00614599" w:rsidP="00614599"/>
    <w:p w14:paraId="52C3576B" w14:textId="5BF60112" w:rsidR="00614599" w:rsidRDefault="00614599" w:rsidP="001516A1">
      <w:r>
        <w:t>Als de woning verhuurt wordt, is van belang of in de nieuwe huur ruimte is voor een huurverhoging door zonn</w:t>
      </w:r>
      <w:r w:rsidR="001516A1">
        <w:t xml:space="preserve">epanelen (zie verder hoofdstuk </w:t>
      </w:r>
      <w:r w:rsidR="00F90BC0">
        <w:t>5</w:t>
      </w:r>
      <w:r>
        <w:t>).</w:t>
      </w:r>
    </w:p>
    <w:p w14:paraId="7C0214AA" w14:textId="5B43A937" w:rsidR="001516A1" w:rsidRDefault="001516A1" w:rsidP="001516A1">
      <w:r>
        <w:t xml:space="preserve">In het rekenmodel is er </w:t>
      </w:r>
      <w:proofErr w:type="spellStart"/>
      <w:r>
        <w:t>vanuitgegaan</w:t>
      </w:r>
      <w:proofErr w:type="spellEnd"/>
      <w:r>
        <w:t xml:space="preserve"> dat de nieuwe huurder hetzelfde betaalt als de zittende huurder</w:t>
      </w:r>
      <w:r w:rsidR="0007084E">
        <w:t>, conform input van Tiwos</w:t>
      </w:r>
      <w:r>
        <w:t>.</w:t>
      </w:r>
    </w:p>
    <w:p w14:paraId="643498FB" w14:textId="77777777" w:rsidR="00614599" w:rsidRDefault="00614599" w:rsidP="008108A0"/>
    <w:p w14:paraId="06584BED" w14:textId="7164466A" w:rsidR="008108A0" w:rsidRDefault="0007084E" w:rsidP="008108A0">
      <w:pPr>
        <w:rPr>
          <w:u w:val="single"/>
        </w:rPr>
      </w:pPr>
      <w:r>
        <w:rPr>
          <w:u w:val="single"/>
        </w:rPr>
        <w:t>Financi</w:t>
      </w:r>
      <w:r w:rsidR="00B059AE">
        <w:rPr>
          <w:u w:val="single"/>
        </w:rPr>
        <w:t>ë</w:t>
      </w:r>
      <w:r>
        <w:rPr>
          <w:u w:val="single"/>
        </w:rPr>
        <w:t>le parameters (rij 19 t/m 24)</w:t>
      </w:r>
    </w:p>
    <w:p w14:paraId="33F337F0" w14:textId="7EDEDC57" w:rsidR="001516A1" w:rsidRDefault="001516A1" w:rsidP="001516A1">
      <w:pPr>
        <w:pStyle w:val="Lijstalinea"/>
        <w:numPr>
          <w:ilvl w:val="0"/>
          <w:numId w:val="14"/>
        </w:numPr>
      </w:pPr>
      <w:r>
        <w:t>als de nieuwe huurders meer of minder betalen: de mutatiegraad. 6 % is een veelgehoord getal voor eengezinswoningen</w:t>
      </w:r>
    </w:p>
    <w:p w14:paraId="46B7EC71" w14:textId="77777777" w:rsidR="001516A1" w:rsidRDefault="001516A1" w:rsidP="008108A0">
      <w:pPr>
        <w:pStyle w:val="Lijstalinea"/>
        <w:numPr>
          <w:ilvl w:val="0"/>
          <w:numId w:val="14"/>
        </w:numPr>
      </w:pPr>
      <w:r>
        <w:t>indexering, jaarlijkse huurverhoging 2 %</w:t>
      </w:r>
    </w:p>
    <w:p w14:paraId="44D36ACF" w14:textId="7DB56B13" w:rsidR="001516A1" w:rsidRDefault="001516A1" w:rsidP="008108A0">
      <w:pPr>
        <w:pStyle w:val="Lijstalinea"/>
        <w:numPr>
          <w:ilvl w:val="0"/>
          <w:numId w:val="14"/>
        </w:numPr>
      </w:pPr>
      <w:r>
        <w:t>disconteringsvoet/</w:t>
      </w:r>
      <w:proofErr w:type="spellStart"/>
      <w:r>
        <w:t>rendementseius</w:t>
      </w:r>
      <w:proofErr w:type="spellEnd"/>
      <w:r>
        <w:t>: 3 a 4 %, nu uitgegaan van 3,1% conform input van Tiwos.</w:t>
      </w:r>
    </w:p>
    <w:p w14:paraId="43E7528C" w14:textId="18F68830" w:rsidR="008108A0" w:rsidRDefault="008108A0" w:rsidP="008108A0">
      <w:pPr>
        <w:pStyle w:val="Lijstalinea"/>
        <w:numPr>
          <w:ilvl w:val="0"/>
          <w:numId w:val="14"/>
        </w:numPr>
      </w:pPr>
      <w:r>
        <w:t>Welke indexering krijgt de vergoeding</w:t>
      </w:r>
    </w:p>
    <w:p w14:paraId="1C56A778" w14:textId="77777777" w:rsidR="008108A0" w:rsidRDefault="008108A0" w:rsidP="008108A0">
      <w:pPr>
        <w:pStyle w:val="Lijstalinea"/>
        <w:numPr>
          <w:ilvl w:val="1"/>
          <w:numId w:val="14"/>
        </w:numPr>
      </w:pPr>
      <w:r>
        <w:t>Bij verrekening in de huur wordt vaak gerekend met een jaarlijkse huurverhoging van 2 tot 3%</w:t>
      </w:r>
    </w:p>
    <w:p w14:paraId="43635B91" w14:textId="77777777" w:rsidR="008108A0" w:rsidRDefault="008108A0" w:rsidP="008108A0">
      <w:pPr>
        <w:pStyle w:val="Lijstalinea"/>
        <w:numPr>
          <w:ilvl w:val="1"/>
          <w:numId w:val="14"/>
        </w:numPr>
      </w:pPr>
      <w:r>
        <w:t>Bij verrekening buiten de huur kan elke jaarlijkse verhoging worden afgesproken</w:t>
      </w:r>
    </w:p>
    <w:p w14:paraId="1D7EE8C7" w14:textId="0DBED138" w:rsidR="008108A0" w:rsidRDefault="008108A0" w:rsidP="008108A0">
      <w:pPr>
        <w:rPr>
          <w:u w:val="single"/>
        </w:rPr>
      </w:pPr>
    </w:p>
    <w:sectPr w:rsidR="008108A0" w:rsidSect="00F6334F">
      <w:headerReference w:type="default" r:id="rId12"/>
      <w:footerReference w:type="default" r:id="rId13"/>
      <w:pgSz w:w="11900" w:h="16840"/>
      <w:pgMar w:top="2835" w:right="56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204F" w14:textId="77777777" w:rsidR="00A23900" w:rsidRDefault="00A23900" w:rsidP="00A207D5">
      <w:r>
        <w:separator/>
      </w:r>
    </w:p>
  </w:endnote>
  <w:endnote w:type="continuationSeparator" w:id="0">
    <w:p w14:paraId="39E02A3F" w14:textId="77777777" w:rsidR="00A23900" w:rsidRDefault="00A23900" w:rsidP="00A2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F0E1" w14:textId="13F484AF" w:rsidR="007341D4" w:rsidRDefault="007341D4">
    <w:pPr>
      <w:pStyle w:val="Voettekst"/>
    </w:pPr>
    <w:r>
      <w:t xml:space="preserve">Zonnepanelen op Tilburgse huurwoningen – verkenning potentieel en rendement </w:t>
    </w:r>
    <w:r>
      <w:tab/>
      <w:t xml:space="preserve">pagina </w:t>
    </w:r>
    <w:sdt>
      <w:sdtPr>
        <w:id w:val="-39914851"/>
        <w:docPartObj>
          <w:docPartGallery w:val="Page Numbers (Bottom of Page)"/>
          <w:docPartUnique/>
        </w:docPartObj>
      </w:sdtPr>
      <w:sdtEndPr/>
      <w:sdtContent>
        <w:r>
          <w:fldChar w:fldCharType="begin"/>
        </w:r>
        <w:r>
          <w:instrText>PAGE   \* MERGEFORMAT</w:instrText>
        </w:r>
        <w:r>
          <w:fldChar w:fldCharType="separate"/>
        </w:r>
        <w:r w:rsidR="00CA4974">
          <w:rPr>
            <w:noProof/>
          </w:rPr>
          <w:t>6</w:t>
        </w:r>
        <w:r>
          <w:fldChar w:fldCharType="end"/>
        </w:r>
      </w:sdtContent>
    </w:sdt>
  </w:p>
  <w:p w14:paraId="51BE7243" w14:textId="61967D76" w:rsidR="007341D4" w:rsidRDefault="007341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0414" w14:textId="77777777" w:rsidR="00A23900" w:rsidRDefault="00A23900" w:rsidP="00A207D5">
      <w:r>
        <w:separator/>
      </w:r>
    </w:p>
  </w:footnote>
  <w:footnote w:type="continuationSeparator" w:id="0">
    <w:p w14:paraId="459A6CEA" w14:textId="77777777" w:rsidR="00A23900" w:rsidRDefault="00A23900" w:rsidP="00A207D5">
      <w:r>
        <w:continuationSeparator/>
      </w:r>
    </w:p>
  </w:footnote>
  <w:footnote w:id="1">
    <w:p w14:paraId="38B713ED" w14:textId="65B8A216" w:rsidR="007341D4" w:rsidRDefault="007341D4">
      <w:pPr>
        <w:pStyle w:val="Voetnoottekst"/>
      </w:pPr>
      <w:r>
        <w:rPr>
          <w:rStyle w:val="Voetnootmarkering"/>
        </w:rPr>
        <w:footnoteRef/>
      </w:r>
      <w:r>
        <w:t xml:space="preserve"> </w:t>
      </w:r>
      <w:hyperlink r:id="rId1" w:history="1">
        <w:r w:rsidRPr="002E3968">
          <w:rPr>
            <w:rStyle w:val="Hyperlink"/>
          </w:rPr>
          <w:t>http://www.</w:t>
        </w:r>
        <w:r>
          <w:rPr>
            <w:rStyle w:val="Hyperlink"/>
          </w:rPr>
          <w:t>Zonnighuren</w:t>
        </w:r>
        <w:r w:rsidRPr="002E3968">
          <w:rPr>
            <w:rStyle w:val="Hyperlink"/>
          </w:rPr>
          <w:t>.nl/wp-content/uploads/2013/03/ervaringen-verhuurders-zonnepanelen-enquete.pdf</w:t>
        </w:r>
      </w:hyperlink>
      <w:r>
        <w:t xml:space="preserve"> hoofdstuk 5</w:t>
      </w:r>
    </w:p>
  </w:footnote>
  <w:footnote w:id="2">
    <w:p w14:paraId="15BF29B9" w14:textId="653E1054" w:rsidR="007341D4" w:rsidRDefault="007341D4" w:rsidP="00E64BC2">
      <w:pPr>
        <w:autoSpaceDE w:val="0"/>
        <w:autoSpaceDN w:val="0"/>
        <w:adjustRightInd w:val="0"/>
      </w:pPr>
      <w:r>
        <w:rPr>
          <w:rStyle w:val="Voetnootmarkering"/>
        </w:rPr>
        <w:footnoteRef/>
      </w:r>
      <w:r>
        <w:t xml:space="preserve"> </w:t>
      </w:r>
      <w:hyperlink r:id="rId2" w:history="1">
        <w:r w:rsidRPr="002E3968">
          <w:rPr>
            <w:rStyle w:val="Hyperlink"/>
          </w:rPr>
          <w:t>http://www.</w:t>
        </w:r>
        <w:r>
          <w:rPr>
            <w:rStyle w:val="Hyperlink"/>
          </w:rPr>
          <w:t>Zonnighuren</w:t>
        </w:r>
        <w:r w:rsidRPr="002E3968">
          <w:rPr>
            <w:rStyle w:val="Hyperlink"/>
          </w:rPr>
          <w:t>.nl/wp-content/uploads/2013/03/uni-utrecht_Opbrengst_van_zonnestroomsystemen_in_NL_11032014.pdf</w:t>
        </w:r>
      </w:hyperlink>
    </w:p>
  </w:footnote>
  <w:footnote w:id="3">
    <w:p w14:paraId="55440135" w14:textId="63DD2D8B" w:rsidR="007341D4" w:rsidRDefault="007341D4" w:rsidP="00E64BC2">
      <w:pPr>
        <w:autoSpaceDE w:val="0"/>
        <w:autoSpaceDN w:val="0"/>
        <w:adjustRightInd w:val="0"/>
        <w:rPr>
          <w:rFonts w:ascii="Arial" w:eastAsiaTheme="minorEastAsia" w:hAnsi="Arial" w:cs="Arial"/>
          <w:color w:val="000000"/>
          <w:sz w:val="20"/>
          <w:szCs w:val="20"/>
          <w:lang w:eastAsia="ja-JP"/>
        </w:rPr>
      </w:pPr>
      <w:r>
        <w:rPr>
          <w:rStyle w:val="Voetnootmarkering"/>
        </w:rPr>
        <w:footnoteRef/>
      </w:r>
      <w:r>
        <w:t xml:space="preserve"> </w:t>
      </w:r>
      <w:r>
        <w:rPr>
          <w:rFonts w:ascii="Arial" w:eastAsiaTheme="minorEastAsia" w:hAnsi="Arial" w:cs="Arial"/>
          <w:color w:val="000000"/>
          <w:sz w:val="20"/>
          <w:szCs w:val="20"/>
          <w:lang w:eastAsia="ja-JP"/>
        </w:rPr>
        <w:t>https://solarmagazine.nl/nieuws-zonne-energie/i10648/monitoringspecialist-solarcare-opbrengst-in-2015-gemiddeld-0-93-kilowattuur-per-wattpiek?utm_source=Solar+Magazine+Nieuwsbrief&amp;utm_campaign=2cd35abee7-Zonneflits_3_NLD_2016&amp;utm_medium=email&amp;utm_term=0_d7bdde83fb-2cd35abee7-182459149</w:t>
      </w:r>
    </w:p>
    <w:p w14:paraId="227C8F88" w14:textId="198D1AA6" w:rsidR="007341D4" w:rsidRDefault="007341D4">
      <w:pPr>
        <w:pStyle w:val="Voetnoottekst"/>
      </w:pPr>
    </w:p>
  </w:footnote>
  <w:footnote w:id="4">
    <w:p w14:paraId="439FD45A" w14:textId="3832C70E" w:rsidR="007341D4" w:rsidRDefault="007341D4" w:rsidP="001516A1">
      <w:pPr>
        <w:pStyle w:val="Voetnoottekst"/>
      </w:pPr>
      <w:r>
        <w:rPr>
          <w:rStyle w:val="Voetnootmarkering"/>
        </w:rPr>
        <w:footnoteRef/>
      </w:r>
      <w:r>
        <w:t xml:space="preserve"> onderzoek ministerie van Binnenlandse zaken geeft aan dat een A-label </w:t>
      </w:r>
      <w:proofErr w:type="spellStart"/>
      <w:r>
        <w:t>tov</w:t>
      </w:r>
      <w:proofErr w:type="spellEnd"/>
      <w:r>
        <w:t xml:space="preserve"> een D-label (3 labelstappen) tot 10 % hogere verkoopwaarde leidt. Met zonnepanelen verbetert de woning met één labelstap. </w:t>
      </w:r>
      <w:hyperlink r:id="rId3" w:history="1">
        <w:r>
          <w:rPr>
            <w:rStyle w:val="Hyperlink"/>
            <w:color w:val="000000"/>
          </w:rPr>
          <w:t>http://atriensis.nl/_userdata/files/rapport-energielabel(2).pdf</w:t>
        </w:r>
      </w:hyperlink>
      <w:r>
        <w:t xml:space="preserve">. Onderzoek in opdracht van zonnepromotor Natuur en Milieu spreekt ook over 5.000 euro meerwaarde bij zonnepanelen. </w:t>
      </w:r>
      <w:hyperlink r:id="rId4" w:history="1">
        <w:r>
          <w:rPr>
            <w:rStyle w:val="Hyperlink"/>
            <w:rFonts w:cs="Segoe UI"/>
            <w:color w:val="000000"/>
          </w:rPr>
          <w:t>http://www.motivaction.nl/kennisplatform/in-de-media/woning-met-zonnepanelen-aantrekkelijk</w:t>
        </w:r>
      </w:hyperlink>
      <w:r>
        <w:rPr>
          <w:rStyle w:val="Hyperlink"/>
          <w:rFonts w:cs="Segoe UI"/>
          <w:color w:val="000000"/>
        </w:rPr>
        <w:t xml:space="preserve">. </w:t>
      </w:r>
      <w:r>
        <w:rPr>
          <w:rFonts w:ascii="Segoe UI" w:hAnsi="Segoe UI" w:cs="Segoe UI"/>
        </w:rPr>
        <w:t xml:space="preserve">Ik begrijp van taxateurs van mijn opdrachtgever </w:t>
      </w:r>
      <w:proofErr w:type="spellStart"/>
      <w:r>
        <w:rPr>
          <w:rFonts w:ascii="Segoe UI" w:hAnsi="Segoe UI" w:cs="Segoe UI"/>
        </w:rPr>
        <w:t>bouwinvest</w:t>
      </w:r>
      <w:proofErr w:type="spellEnd"/>
      <w:r>
        <w:rPr>
          <w:rFonts w:ascii="Segoe UI" w:hAnsi="Segoe UI" w:cs="Segoe UI"/>
        </w:rPr>
        <w:t xml:space="preserve"> dat zij de helft van de investering in de zonnepanelen meerekenen in de verkoopwaarde.</w:t>
      </w:r>
    </w:p>
    <w:p w14:paraId="41AD268B" w14:textId="359267C5" w:rsidR="007341D4" w:rsidRDefault="007341D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D511" w14:textId="35718BBB" w:rsidR="007341D4" w:rsidRDefault="00CA4974">
    <w:pPr>
      <w:pStyle w:val="Koptekst"/>
    </w:pPr>
    <w:r>
      <w:rPr>
        <w:noProof/>
        <w:lang w:eastAsia="nl-NL"/>
      </w:rPr>
      <w:t>www.zonnighuren.nl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B7B"/>
    <w:multiLevelType w:val="hybridMultilevel"/>
    <w:tmpl w:val="4FC6DA08"/>
    <w:lvl w:ilvl="0" w:tplc="04130001">
      <w:start w:val="1"/>
      <w:numFmt w:val="bullet"/>
      <w:lvlText w:val=""/>
      <w:lvlJc w:val="left"/>
      <w:pPr>
        <w:ind w:left="1470" w:hanging="360"/>
      </w:pPr>
      <w:rPr>
        <w:rFonts w:ascii="Symbol" w:hAnsi="Symbol" w:hint="default"/>
      </w:rPr>
    </w:lvl>
    <w:lvl w:ilvl="1" w:tplc="04130003">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1" w15:restartNumberingAfterBreak="0">
    <w:nsid w:val="075572EA"/>
    <w:multiLevelType w:val="hybridMultilevel"/>
    <w:tmpl w:val="F5EE4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240001"/>
    <w:multiLevelType w:val="hybridMultilevel"/>
    <w:tmpl w:val="2166BF7E"/>
    <w:lvl w:ilvl="0" w:tplc="A780872C">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015FF"/>
    <w:multiLevelType w:val="hybridMultilevel"/>
    <w:tmpl w:val="87680F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AB622AE"/>
    <w:multiLevelType w:val="hybridMultilevel"/>
    <w:tmpl w:val="45A42C48"/>
    <w:lvl w:ilvl="0" w:tplc="BB3C671C">
      <w:start w:val="5"/>
      <w:numFmt w:val="bullet"/>
      <w:lvlText w:val=""/>
      <w:lvlJc w:val="left"/>
      <w:pPr>
        <w:ind w:left="3600" w:hanging="360"/>
      </w:pPr>
      <w:rPr>
        <w:rFonts w:ascii="Symbol" w:eastAsiaTheme="minorHAnsi" w:hAnsi="Symbol"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0D506F8C"/>
    <w:multiLevelType w:val="hybridMultilevel"/>
    <w:tmpl w:val="822683C8"/>
    <w:lvl w:ilvl="0" w:tplc="2DB84662">
      <w:numFmt w:val="bullet"/>
      <w:lvlText w:val=""/>
      <w:lvlJc w:val="left"/>
      <w:pPr>
        <w:ind w:left="720" w:hanging="360"/>
      </w:pPr>
      <w:rPr>
        <w:rFonts w:ascii="Symbol" w:eastAsia="Calibri" w:hAnsi="Symbol" w:cs="Corbe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4E25EE1"/>
    <w:multiLevelType w:val="hybridMultilevel"/>
    <w:tmpl w:val="0010CB46"/>
    <w:lvl w:ilvl="0" w:tplc="C53ABA00">
      <w:start w:val="7"/>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1A22EE"/>
    <w:multiLevelType w:val="hybridMultilevel"/>
    <w:tmpl w:val="F9AE23EA"/>
    <w:lvl w:ilvl="0" w:tplc="1962400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A715CFB"/>
    <w:multiLevelType w:val="hybridMultilevel"/>
    <w:tmpl w:val="BE2C12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A1CB5"/>
    <w:multiLevelType w:val="hybridMultilevel"/>
    <w:tmpl w:val="B01808D6"/>
    <w:lvl w:ilvl="0" w:tplc="47A4C5B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BB6B61"/>
    <w:multiLevelType w:val="hybridMultilevel"/>
    <w:tmpl w:val="DA1AC24E"/>
    <w:lvl w:ilvl="0" w:tplc="E546435E">
      <w:start w:val="20"/>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226444"/>
    <w:multiLevelType w:val="hybridMultilevel"/>
    <w:tmpl w:val="B0E0F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B139ED"/>
    <w:multiLevelType w:val="hybridMultilevel"/>
    <w:tmpl w:val="AF920EB4"/>
    <w:lvl w:ilvl="0" w:tplc="04130001">
      <w:start w:val="16"/>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796518"/>
    <w:multiLevelType w:val="hybridMultilevel"/>
    <w:tmpl w:val="F5EE4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0D68A2"/>
    <w:multiLevelType w:val="hybridMultilevel"/>
    <w:tmpl w:val="D19257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2573AD7"/>
    <w:multiLevelType w:val="hybridMultilevel"/>
    <w:tmpl w:val="60B8089A"/>
    <w:lvl w:ilvl="0" w:tplc="B32E8B3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4261CF9"/>
    <w:multiLevelType w:val="hybridMultilevel"/>
    <w:tmpl w:val="8612E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7873FD"/>
    <w:multiLevelType w:val="hybridMultilevel"/>
    <w:tmpl w:val="83B2D4DC"/>
    <w:lvl w:ilvl="0" w:tplc="F450241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6F67D2"/>
    <w:multiLevelType w:val="hybridMultilevel"/>
    <w:tmpl w:val="1096CDAC"/>
    <w:lvl w:ilvl="0" w:tplc="633A1F6E">
      <w:start w:val="7"/>
      <w:numFmt w:val="bullet"/>
      <w:lvlText w:val=""/>
      <w:lvlJc w:val="left"/>
      <w:pPr>
        <w:ind w:left="720" w:hanging="360"/>
      </w:pPr>
      <w:rPr>
        <w:rFonts w:ascii="Symbol" w:eastAsiaTheme="minorHAnsi"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7F5578"/>
    <w:multiLevelType w:val="hybridMultilevel"/>
    <w:tmpl w:val="15C6BB56"/>
    <w:lvl w:ilvl="0" w:tplc="FDD0C0EE">
      <w:start w:val="51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DC2256"/>
    <w:multiLevelType w:val="hybridMultilevel"/>
    <w:tmpl w:val="9858F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E95987"/>
    <w:multiLevelType w:val="hybridMultilevel"/>
    <w:tmpl w:val="22989784"/>
    <w:lvl w:ilvl="0" w:tplc="67246A44">
      <w:start w:val="1"/>
      <w:numFmt w:val="decimal"/>
      <w:lvlText w:val="%1."/>
      <w:lvlJc w:val="left"/>
      <w:pPr>
        <w:ind w:left="1773" w:hanging="36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22" w15:restartNumberingAfterBreak="0">
    <w:nsid w:val="5EF23E5C"/>
    <w:multiLevelType w:val="hybridMultilevel"/>
    <w:tmpl w:val="FD3C8320"/>
    <w:lvl w:ilvl="0" w:tplc="E432FC9C">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E46682"/>
    <w:multiLevelType w:val="hybridMultilevel"/>
    <w:tmpl w:val="EA7E76D2"/>
    <w:lvl w:ilvl="0" w:tplc="D78EE640">
      <w:numFmt w:val="bullet"/>
      <w:lvlText w:val="•"/>
      <w:lvlJc w:val="left"/>
      <w:pPr>
        <w:ind w:left="864" w:hanging="50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FF4EB7"/>
    <w:multiLevelType w:val="hybridMultilevel"/>
    <w:tmpl w:val="523096C8"/>
    <w:lvl w:ilvl="0" w:tplc="B99E5E2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AC4DFC"/>
    <w:multiLevelType w:val="hybridMultilevel"/>
    <w:tmpl w:val="F5EE4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822518"/>
    <w:multiLevelType w:val="hybridMultilevel"/>
    <w:tmpl w:val="93BAF306"/>
    <w:lvl w:ilvl="0" w:tplc="5F6623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CB2D0D"/>
    <w:multiLevelType w:val="hybridMultilevel"/>
    <w:tmpl w:val="DE0AC8B4"/>
    <w:lvl w:ilvl="0" w:tplc="BB0EB9F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0000B28"/>
    <w:multiLevelType w:val="hybridMultilevel"/>
    <w:tmpl w:val="250E0B9A"/>
    <w:lvl w:ilvl="0" w:tplc="BB3C671C">
      <w:start w:val="5"/>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B43F68"/>
    <w:multiLevelType w:val="hybridMultilevel"/>
    <w:tmpl w:val="91ACFE34"/>
    <w:lvl w:ilvl="0" w:tplc="47A4C5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AAC71C6"/>
    <w:multiLevelType w:val="hybridMultilevel"/>
    <w:tmpl w:val="D5ACDDF0"/>
    <w:lvl w:ilvl="0" w:tplc="5F6623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C6140E"/>
    <w:multiLevelType w:val="hybridMultilevel"/>
    <w:tmpl w:val="D8C46426"/>
    <w:lvl w:ilvl="0" w:tplc="995CF4B8">
      <w:start w:val="1"/>
      <w:numFmt w:val="decimal"/>
      <w:lvlText w:val="%1."/>
      <w:lvlJc w:val="left"/>
      <w:pPr>
        <w:ind w:left="720" w:hanging="360"/>
      </w:pPr>
      <w:rPr>
        <w:rFonts w:ascii="Calibri" w:eastAsiaTheme="minorHAnsi" w:hAnsi="Calibri" w:cs="Calibr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1F5109"/>
    <w:multiLevelType w:val="hybridMultilevel"/>
    <w:tmpl w:val="58DC4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19"/>
  </w:num>
  <w:num w:numId="5">
    <w:abstractNumId w:val="11"/>
  </w:num>
  <w:num w:numId="6">
    <w:abstractNumId w:val="29"/>
  </w:num>
  <w:num w:numId="7">
    <w:abstractNumId w:val="2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4"/>
  </w:num>
  <w:num w:numId="11">
    <w:abstractNumId w:val="17"/>
  </w:num>
  <w:num w:numId="12">
    <w:abstractNumId w:val="10"/>
  </w:num>
  <w:num w:numId="13">
    <w:abstractNumId w:val="4"/>
  </w:num>
  <w:num w:numId="14">
    <w:abstractNumId w:val="28"/>
  </w:num>
  <w:num w:numId="15">
    <w:abstractNumId w:val="30"/>
  </w:num>
  <w:num w:numId="16">
    <w:abstractNumId w:val="5"/>
  </w:num>
  <w:num w:numId="17">
    <w:abstractNumId w:val="3"/>
  </w:num>
  <w:num w:numId="18">
    <w:abstractNumId w:val="20"/>
  </w:num>
  <w:num w:numId="19">
    <w:abstractNumId w:val="2"/>
  </w:num>
  <w:num w:numId="20">
    <w:abstractNumId w:val="27"/>
  </w:num>
  <w:num w:numId="21">
    <w:abstractNumId w:val="26"/>
  </w:num>
  <w:num w:numId="22">
    <w:abstractNumId w:val="15"/>
  </w:num>
  <w:num w:numId="23">
    <w:abstractNumId w:val="7"/>
  </w:num>
  <w:num w:numId="24">
    <w:abstractNumId w:val="32"/>
  </w:num>
  <w:num w:numId="25">
    <w:abstractNumId w:val="21"/>
  </w:num>
  <w:num w:numId="26">
    <w:abstractNumId w:val="0"/>
  </w:num>
  <w:num w:numId="27">
    <w:abstractNumId w:val="12"/>
  </w:num>
  <w:num w:numId="28">
    <w:abstractNumId w:val="13"/>
  </w:num>
  <w:num w:numId="29">
    <w:abstractNumId w:val="1"/>
  </w:num>
  <w:num w:numId="30">
    <w:abstractNumId w:val="25"/>
  </w:num>
  <w:num w:numId="31">
    <w:abstractNumId w:val="14"/>
  </w:num>
  <w:num w:numId="32">
    <w:abstractNumId w:val="22"/>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2"/>
    <w:rsid w:val="00005E26"/>
    <w:rsid w:val="000071F8"/>
    <w:rsid w:val="00020225"/>
    <w:rsid w:val="00043AFD"/>
    <w:rsid w:val="000518C5"/>
    <w:rsid w:val="00052D3E"/>
    <w:rsid w:val="00063751"/>
    <w:rsid w:val="0007084E"/>
    <w:rsid w:val="00076B68"/>
    <w:rsid w:val="0008548D"/>
    <w:rsid w:val="000B5D92"/>
    <w:rsid w:val="000C0089"/>
    <w:rsid w:val="000D0356"/>
    <w:rsid w:val="000E1632"/>
    <w:rsid w:val="0010390A"/>
    <w:rsid w:val="00104234"/>
    <w:rsid w:val="00114ADA"/>
    <w:rsid w:val="00136D20"/>
    <w:rsid w:val="001412C9"/>
    <w:rsid w:val="001448F6"/>
    <w:rsid w:val="001516A1"/>
    <w:rsid w:val="0015227B"/>
    <w:rsid w:val="0017038C"/>
    <w:rsid w:val="00180138"/>
    <w:rsid w:val="00191713"/>
    <w:rsid w:val="001A64FE"/>
    <w:rsid w:val="001B58C1"/>
    <w:rsid w:val="001C33A7"/>
    <w:rsid w:val="001D283B"/>
    <w:rsid w:val="001D63A4"/>
    <w:rsid w:val="001D78DA"/>
    <w:rsid w:val="001E0F76"/>
    <w:rsid w:val="002060C7"/>
    <w:rsid w:val="00215389"/>
    <w:rsid w:val="00236585"/>
    <w:rsid w:val="002557FC"/>
    <w:rsid w:val="002560F8"/>
    <w:rsid w:val="00260A88"/>
    <w:rsid w:val="0026257D"/>
    <w:rsid w:val="0027068A"/>
    <w:rsid w:val="0028149C"/>
    <w:rsid w:val="00293269"/>
    <w:rsid w:val="002B259F"/>
    <w:rsid w:val="002D51B8"/>
    <w:rsid w:val="002E5218"/>
    <w:rsid w:val="002E6541"/>
    <w:rsid w:val="002F2A77"/>
    <w:rsid w:val="003033C0"/>
    <w:rsid w:val="003105E6"/>
    <w:rsid w:val="00321244"/>
    <w:rsid w:val="00326274"/>
    <w:rsid w:val="00326B67"/>
    <w:rsid w:val="003337F5"/>
    <w:rsid w:val="003401E5"/>
    <w:rsid w:val="00341245"/>
    <w:rsid w:val="0035324A"/>
    <w:rsid w:val="00356FB4"/>
    <w:rsid w:val="00360BF6"/>
    <w:rsid w:val="00367AFA"/>
    <w:rsid w:val="003C6C52"/>
    <w:rsid w:val="003D4E5F"/>
    <w:rsid w:val="003F6D18"/>
    <w:rsid w:val="0040014B"/>
    <w:rsid w:val="00400AEF"/>
    <w:rsid w:val="00405788"/>
    <w:rsid w:val="004067EF"/>
    <w:rsid w:val="004102A8"/>
    <w:rsid w:val="0041073D"/>
    <w:rsid w:val="00431136"/>
    <w:rsid w:val="00434900"/>
    <w:rsid w:val="00435681"/>
    <w:rsid w:val="00461109"/>
    <w:rsid w:val="00461E8E"/>
    <w:rsid w:val="00466191"/>
    <w:rsid w:val="00481AE9"/>
    <w:rsid w:val="00487C48"/>
    <w:rsid w:val="004B49E3"/>
    <w:rsid w:val="004C3491"/>
    <w:rsid w:val="004C3913"/>
    <w:rsid w:val="004E1D7F"/>
    <w:rsid w:val="004E39B3"/>
    <w:rsid w:val="004E67A2"/>
    <w:rsid w:val="004F7AD6"/>
    <w:rsid w:val="00514BAA"/>
    <w:rsid w:val="00522894"/>
    <w:rsid w:val="00541F00"/>
    <w:rsid w:val="00555154"/>
    <w:rsid w:val="0057141B"/>
    <w:rsid w:val="00581816"/>
    <w:rsid w:val="00584E07"/>
    <w:rsid w:val="0058544B"/>
    <w:rsid w:val="00587036"/>
    <w:rsid w:val="00596F38"/>
    <w:rsid w:val="005A0618"/>
    <w:rsid w:val="005A4490"/>
    <w:rsid w:val="005A4D95"/>
    <w:rsid w:val="005A6DCA"/>
    <w:rsid w:val="005D698C"/>
    <w:rsid w:val="005E5D6F"/>
    <w:rsid w:val="006000E7"/>
    <w:rsid w:val="00610559"/>
    <w:rsid w:val="00612C85"/>
    <w:rsid w:val="00614599"/>
    <w:rsid w:val="00623F9A"/>
    <w:rsid w:val="006321C8"/>
    <w:rsid w:val="0065145E"/>
    <w:rsid w:val="00654181"/>
    <w:rsid w:val="00655660"/>
    <w:rsid w:val="0066779E"/>
    <w:rsid w:val="00672357"/>
    <w:rsid w:val="00683609"/>
    <w:rsid w:val="006860E6"/>
    <w:rsid w:val="0069120E"/>
    <w:rsid w:val="006F30F5"/>
    <w:rsid w:val="006F51E1"/>
    <w:rsid w:val="006F7E6D"/>
    <w:rsid w:val="00700387"/>
    <w:rsid w:val="00711374"/>
    <w:rsid w:val="00714D54"/>
    <w:rsid w:val="00725189"/>
    <w:rsid w:val="007300F8"/>
    <w:rsid w:val="007341D4"/>
    <w:rsid w:val="0079215C"/>
    <w:rsid w:val="007A3FC2"/>
    <w:rsid w:val="007A62E9"/>
    <w:rsid w:val="007B3573"/>
    <w:rsid w:val="007C4AEF"/>
    <w:rsid w:val="007D3EAE"/>
    <w:rsid w:val="007D6AF4"/>
    <w:rsid w:val="007E2C89"/>
    <w:rsid w:val="007E65F2"/>
    <w:rsid w:val="007E7F1F"/>
    <w:rsid w:val="007F14E4"/>
    <w:rsid w:val="007F18D3"/>
    <w:rsid w:val="007F2AC6"/>
    <w:rsid w:val="00805A88"/>
    <w:rsid w:val="008108A0"/>
    <w:rsid w:val="008149D8"/>
    <w:rsid w:val="00822722"/>
    <w:rsid w:val="00833793"/>
    <w:rsid w:val="00836DA3"/>
    <w:rsid w:val="008401EC"/>
    <w:rsid w:val="008565B7"/>
    <w:rsid w:val="00875008"/>
    <w:rsid w:val="008823A4"/>
    <w:rsid w:val="008A0256"/>
    <w:rsid w:val="008A6F71"/>
    <w:rsid w:val="008A7320"/>
    <w:rsid w:val="008B2619"/>
    <w:rsid w:val="008D46A8"/>
    <w:rsid w:val="008E4436"/>
    <w:rsid w:val="008F2C47"/>
    <w:rsid w:val="00923557"/>
    <w:rsid w:val="0092424C"/>
    <w:rsid w:val="00924856"/>
    <w:rsid w:val="00935324"/>
    <w:rsid w:val="0094225B"/>
    <w:rsid w:val="00944E28"/>
    <w:rsid w:val="009727DE"/>
    <w:rsid w:val="009753B4"/>
    <w:rsid w:val="009960EC"/>
    <w:rsid w:val="009A6FBE"/>
    <w:rsid w:val="009B2292"/>
    <w:rsid w:val="009B3AA1"/>
    <w:rsid w:val="009B437C"/>
    <w:rsid w:val="009C6AC4"/>
    <w:rsid w:val="009D532E"/>
    <w:rsid w:val="009F3678"/>
    <w:rsid w:val="009F565B"/>
    <w:rsid w:val="009F5BC7"/>
    <w:rsid w:val="00A06280"/>
    <w:rsid w:val="00A1457A"/>
    <w:rsid w:val="00A207D5"/>
    <w:rsid w:val="00A23900"/>
    <w:rsid w:val="00A26B3C"/>
    <w:rsid w:val="00A3175C"/>
    <w:rsid w:val="00A45F49"/>
    <w:rsid w:val="00A46663"/>
    <w:rsid w:val="00A52EEF"/>
    <w:rsid w:val="00A65287"/>
    <w:rsid w:val="00A66C16"/>
    <w:rsid w:val="00A86D1F"/>
    <w:rsid w:val="00A909B9"/>
    <w:rsid w:val="00AA7303"/>
    <w:rsid w:val="00AB3350"/>
    <w:rsid w:val="00AB5B69"/>
    <w:rsid w:val="00AC73E1"/>
    <w:rsid w:val="00AC7D33"/>
    <w:rsid w:val="00AD0673"/>
    <w:rsid w:val="00AD1880"/>
    <w:rsid w:val="00AE2BEF"/>
    <w:rsid w:val="00AE4235"/>
    <w:rsid w:val="00B059AE"/>
    <w:rsid w:val="00B154F6"/>
    <w:rsid w:val="00B17625"/>
    <w:rsid w:val="00B22BE0"/>
    <w:rsid w:val="00B24106"/>
    <w:rsid w:val="00B31F46"/>
    <w:rsid w:val="00B33C8A"/>
    <w:rsid w:val="00B34E83"/>
    <w:rsid w:val="00B5208B"/>
    <w:rsid w:val="00B57453"/>
    <w:rsid w:val="00B63F76"/>
    <w:rsid w:val="00B85856"/>
    <w:rsid w:val="00B86A16"/>
    <w:rsid w:val="00B92440"/>
    <w:rsid w:val="00B9478A"/>
    <w:rsid w:val="00B95238"/>
    <w:rsid w:val="00BD4586"/>
    <w:rsid w:val="00BE0AE8"/>
    <w:rsid w:val="00BF3FC9"/>
    <w:rsid w:val="00BF6198"/>
    <w:rsid w:val="00C27056"/>
    <w:rsid w:val="00C3345F"/>
    <w:rsid w:val="00C704E8"/>
    <w:rsid w:val="00C770D1"/>
    <w:rsid w:val="00C83CE8"/>
    <w:rsid w:val="00C8652D"/>
    <w:rsid w:val="00CA4974"/>
    <w:rsid w:val="00CA5D2C"/>
    <w:rsid w:val="00CB5514"/>
    <w:rsid w:val="00CC1377"/>
    <w:rsid w:val="00CC499F"/>
    <w:rsid w:val="00CD04B5"/>
    <w:rsid w:val="00CE4EA6"/>
    <w:rsid w:val="00CE5090"/>
    <w:rsid w:val="00CF06FE"/>
    <w:rsid w:val="00D07313"/>
    <w:rsid w:val="00D2005D"/>
    <w:rsid w:val="00D219CC"/>
    <w:rsid w:val="00D21CD2"/>
    <w:rsid w:val="00D2504F"/>
    <w:rsid w:val="00D26A46"/>
    <w:rsid w:val="00D27288"/>
    <w:rsid w:val="00D31FD8"/>
    <w:rsid w:val="00D45100"/>
    <w:rsid w:val="00D651AB"/>
    <w:rsid w:val="00D6602B"/>
    <w:rsid w:val="00D70FC7"/>
    <w:rsid w:val="00D837F6"/>
    <w:rsid w:val="00DA3F18"/>
    <w:rsid w:val="00DC4980"/>
    <w:rsid w:val="00DD6682"/>
    <w:rsid w:val="00DE0E80"/>
    <w:rsid w:val="00DE1ECE"/>
    <w:rsid w:val="00DE2108"/>
    <w:rsid w:val="00DE67C6"/>
    <w:rsid w:val="00DF255D"/>
    <w:rsid w:val="00E06643"/>
    <w:rsid w:val="00E06E36"/>
    <w:rsid w:val="00E300E9"/>
    <w:rsid w:val="00E40DDF"/>
    <w:rsid w:val="00E47774"/>
    <w:rsid w:val="00E64BC2"/>
    <w:rsid w:val="00E72C47"/>
    <w:rsid w:val="00E911DC"/>
    <w:rsid w:val="00EA0304"/>
    <w:rsid w:val="00EA743A"/>
    <w:rsid w:val="00EE6884"/>
    <w:rsid w:val="00EF1520"/>
    <w:rsid w:val="00EF4F2F"/>
    <w:rsid w:val="00EF78F6"/>
    <w:rsid w:val="00EF7A8B"/>
    <w:rsid w:val="00F10675"/>
    <w:rsid w:val="00F11AEB"/>
    <w:rsid w:val="00F32A63"/>
    <w:rsid w:val="00F45292"/>
    <w:rsid w:val="00F54EDD"/>
    <w:rsid w:val="00F6334F"/>
    <w:rsid w:val="00F63DB2"/>
    <w:rsid w:val="00F75DCF"/>
    <w:rsid w:val="00F90BC0"/>
    <w:rsid w:val="00FB0440"/>
    <w:rsid w:val="00FB7355"/>
    <w:rsid w:val="00FE6A47"/>
    <w:rsid w:val="00FE6D38"/>
    <w:rsid w:val="00FF48B6"/>
    <w:rsid w:val="00FF5E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A151B"/>
  <w14:defaultImageDpi w14:val="300"/>
  <w15:docId w15:val="{F6E3BAA9-0945-4398-9CA0-9A9DBC69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Verdana"/>
        <w:lang w:val="nl-NL"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C6C52"/>
    <w:rPr>
      <w:rFonts w:ascii="Calibri" w:eastAsiaTheme="minorHAnsi" w:hAnsi="Calibri" w:cs="Calibri"/>
      <w:sz w:val="22"/>
      <w:szCs w:val="22"/>
      <w:lang w:eastAsia="en-US"/>
    </w:rPr>
  </w:style>
  <w:style w:type="paragraph" w:styleId="Kop1">
    <w:name w:val="heading 1"/>
    <w:basedOn w:val="Standaard"/>
    <w:next w:val="Standaard"/>
    <w:link w:val="Kop1Char"/>
    <w:uiPriority w:val="9"/>
    <w:qFormat/>
    <w:rsid w:val="00EA0304"/>
    <w:pPr>
      <w:keepNext/>
      <w:keepLines/>
      <w:numPr>
        <w:numId w:val="32"/>
      </w:numPr>
      <w:spacing w:before="240" w:line="259" w:lineRule="auto"/>
      <w:outlineLvl w:val="0"/>
    </w:pPr>
    <w:rPr>
      <w:rFonts w:asciiTheme="majorHAnsi" w:eastAsiaTheme="majorEastAsia" w:hAnsiTheme="majorHAnsi" w:cstheme="majorBidi"/>
      <w:color w:val="365F91" w:themeColor="accent1" w:themeShade="BF"/>
      <w:sz w:val="32"/>
      <w:szCs w:val="32"/>
      <w:lang w:eastAsia="nl-NL"/>
    </w:rPr>
  </w:style>
  <w:style w:type="paragraph" w:styleId="Kop2">
    <w:name w:val="heading 2"/>
    <w:basedOn w:val="Standaard"/>
    <w:next w:val="Standaard"/>
    <w:link w:val="Kop2Char"/>
    <w:uiPriority w:val="9"/>
    <w:unhideWhenUsed/>
    <w:qFormat/>
    <w:rsid w:val="008108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200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58C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B58C1"/>
    <w:rPr>
      <w:rFonts w:ascii="Lucida Grande" w:eastAsiaTheme="minorHAnsi" w:hAnsi="Lucida Grande" w:cs="Lucida Grande"/>
      <w:sz w:val="18"/>
      <w:szCs w:val="18"/>
      <w:lang w:eastAsia="en-US"/>
    </w:rPr>
  </w:style>
  <w:style w:type="paragraph" w:styleId="Koptekst">
    <w:name w:val="header"/>
    <w:basedOn w:val="Standaard"/>
    <w:link w:val="KoptekstChar"/>
    <w:uiPriority w:val="99"/>
    <w:unhideWhenUsed/>
    <w:rsid w:val="00A207D5"/>
    <w:pPr>
      <w:tabs>
        <w:tab w:val="center" w:pos="4703"/>
        <w:tab w:val="right" w:pos="9406"/>
      </w:tabs>
    </w:pPr>
    <w:rPr>
      <w:rFonts w:asciiTheme="minorHAnsi" w:hAnsiTheme="minorHAnsi" w:cstheme="minorBidi"/>
    </w:rPr>
  </w:style>
  <w:style w:type="character" w:customStyle="1" w:styleId="KoptekstChar">
    <w:name w:val="Koptekst Char"/>
    <w:basedOn w:val="Standaardalinea-lettertype"/>
    <w:link w:val="Koptekst"/>
    <w:uiPriority w:val="99"/>
    <w:rsid w:val="00A207D5"/>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A207D5"/>
    <w:pPr>
      <w:tabs>
        <w:tab w:val="center" w:pos="4703"/>
        <w:tab w:val="right" w:pos="9406"/>
      </w:tabs>
    </w:pPr>
    <w:rPr>
      <w:rFonts w:asciiTheme="minorHAnsi" w:hAnsiTheme="minorHAnsi" w:cstheme="minorBidi"/>
    </w:rPr>
  </w:style>
  <w:style w:type="character" w:customStyle="1" w:styleId="VoettekstChar">
    <w:name w:val="Voettekst Char"/>
    <w:basedOn w:val="Standaardalinea-lettertype"/>
    <w:link w:val="Voettekst"/>
    <w:uiPriority w:val="99"/>
    <w:rsid w:val="00A207D5"/>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3C6C52"/>
  </w:style>
  <w:style w:type="character" w:customStyle="1" w:styleId="TekstzonderopmaakChar">
    <w:name w:val="Tekst zonder opmaak Char"/>
    <w:basedOn w:val="Standaardalinea-lettertype"/>
    <w:link w:val="Tekstzonderopmaak"/>
    <w:uiPriority w:val="99"/>
    <w:rsid w:val="003C6C52"/>
    <w:rPr>
      <w:rFonts w:ascii="Calibri" w:eastAsiaTheme="minorHAnsi" w:hAnsi="Calibri" w:cs="Calibri"/>
      <w:sz w:val="22"/>
      <w:szCs w:val="22"/>
      <w:lang w:eastAsia="en-US"/>
    </w:rPr>
  </w:style>
  <w:style w:type="character" w:styleId="Verwijzingopmerking">
    <w:name w:val="annotation reference"/>
    <w:basedOn w:val="Standaardalinea-lettertype"/>
    <w:uiPriority w:val="99"/>
    <w:semiHidden/>
    <w:unhideWhenUsed/>
    <w:rsid w:val="003C6C52"/>
    <w:rPr>
      <w:sz w:val="16"/>
      <w:szCs w:val="16"/>
    </w:rPr>
  </w:style>
  <w:style w:type="paragraph" w:styleId="Tekstopmerking">
    <w:name w:val="annotation text"/>
    <w:basedOn w:val="Standaard"/>
    <w:link w:val="TekstopmerkingChar"/>
    <w:uiPriority w:val="99"/>
    <w:semiHidden/>
    <w:unhideWhenUsed/>
    <w:rsid w:val="003C6C52"/>
    <w:rPr>
      <w:sz w:val="20"/>
      <w:szCs w:val="20"/>
    </w:rPr>
  </w:style>
  <w:style w:type="character" w:customStyle="1" w:styleId="TekstopmerkingChar">
    <w:name w:val="Tekst opmerking Char"/>
    <w:basedOn w:val="Standaardalinea-lettertype"/>
    <w:link w:val="Tekstopmerking"/>
    <w:uiPriority w:val="99"/>
    <w:semiHidden/>
    <w:rsid w:val="003C6C52"/>
    <w:rPr>
      <w:rFonts w:ascii="Calibri" w:eastAsiaTheme="minorHAnsi" w:hAnsi="Calibri" w:cs="Calibri"/>
      <w:lang w:eastAsia="en-US"/>
    </w:rPr>
  </w:style>
  <w:style w:type="paragraph" w:styleId="Onderwerpvanopmerking">
    <w:name w:val="annotation subject"/>
    <w:basedOn w:val="Tekstopmerking"/>
    <w:next w:val="Tekstopmerking"/>
    <w:link w:val="OnderwerpvanopmerkingChar"/>
    <w:uiPriority w:val="99"/>
    <w:semiHidden/>
    <w:unhideWhenUsed/>
    <w:rsid w:val="003C6C52"/>
    <w:rPr>
      <w:b/>
      <w:bCs/>
    </w:rPr>
  </w:style>
  <w:style w:type="character" w:customStyle="1" w:styleId="OnderwerpvanopmerkingChar">
    <w:name w:val="Onderwerp van opmerking Char"/>
    <w:basedOn w:val="TekstopmerkingChar"/>
    <w:link w:val="Onderwerpvanopmerking"/>
    <w:uiPriority w:val="99"/>
    <w:semiHidden/>
    <w:rsid w:val="003C6C52"/>
    <w:rPr>
      <w:rFonts w:ascii="Calibri" w:eastAsiaTheme="minorHAnsi" w:hAnsi="Calibri" w:cs="Calibri"/>
      <w:b/>
      <w:bCs/>
      <w:lang w:eastAsia="en-US"/>
    </w:rPr>
  </w:style>
  <w:style w:type="paragraph" w:styleId="Lijstalinea">
    <w:name w:val="List Paragraph"/>
    <w:basedOn w:val="Standaard"/>
    <w:uiPriority w:val="34"/>
    <w:qFormat/>
    <w:rsid w:val="00A65287"/>
    <w:pPr>
      <w:ind w:left="720"/>
      <w:contextualSpacing/>
    </w:pPr>
  </w:style>
  <w:style w:type="character" w:customStyle="1" w:styleId="Kop1Char">
    <w:name w:val="Kop 1 Char"/>
    <w:basedOn w:val="Standaardalinea-lettertype"/>
    <w:link w:val="Kop1"/>
    <w:uiPriority w:val="9"/>
    <w:rsid w:val="00EA0304"/>
    <w:rPr>
      <w:rFonts w:asciiTheme="majorHAnsi" w:eastAsiaTheme="majorEastAsia" w:hAnsiTheme="majorHAnsi" w:cstheme="majorBidi"/>
      <w:color w:val="365F91" w:themeColor="accent1" w:themeShade="BF"/>
      <w:sz w:val="32"/>
      <w:szCs w:val="32"/>
      <w:lang w:eastAsia="nl-NL"/>
    </w:rPr>
  </w:style>
  <w:style w:type="paragraph" w:styleId="Voetnoottekst">
    <w:name w:val="footnote text"/>
    <w:basedOn w:val="Standaard"/>
    <w:link w:val="VoetnoottekstChar"/>
    <w:unhideWhenUsed/>
    <w:rsid w:val="00A66C16"/>
    <w:rPr>
      <w:sz w:val="20"/>
      <w:szCs w:val="20"/>
    </w:rPr>
  </w:style>
  <w:style w:type="character" w:customStyle="1" w:styleId="VoetnoottekstChar">
    <w:name w:val="Voetnoottekst Char"/>
    <w:basedOn w:val="Standaardalinea-lettertype"/>
    <w:link w:val="Voetnoottekst"/>
    <w:rsid w:val="00A66C16"/>
    <w:rPr>
      <w:rFonts w:ascii="Calibri" w:eastAsiaTheme="minorHAnsi" w:hAnsi="Calibri" w:cs="Calibri"/>
      <w:lang w:eastAsia="en-US"/>
    </w:rPr>
  </w:style>
  <w:style w:type="character" w:styleId="Voetnootmarkering">
    <w:name w:val="footnote reference"/>
    <w:basedOn w:val="Standaardalinea-lettertype"/>
    <w:semiHidden/>
    <w:unhideWhenUsed/>
    <w:rsid w:val="00A66C16"/>
    <w:rPr>
      <w:vertAlign w:val="superscript"/>
    </w:rPr>
  </w:style>
  <w:style w:type="table" w:styleId="Tabelraster">
    <w:name w:val="Table Grid"/>
    <w:basedOn w:val="Standaardtabel"/>
    <w:rsid w:val="000C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2424C"/>
    <w:rPr>
      <w:color w:val="0000FF" w:themeColor="hyperlink"/>
      <w:u w:val="single"/>
    </w:rPr>
  </w:style>
  <w:style w:type="character" w:customStyle="1" w:styleId="Kop2Char">
    <w:name w:val="Kop 2 Char"/>
    <w:basedOn w:val="Standaardalinea-lettertype"/>
    <w:link w:val="Kop2"/>
    <w:uiPriority w:val="9"/>
    <w:rsid w:val="008108A0"/>
    <w:rPr>
      <w:rFonts w:asciiTheme="majorHAnsi" w:eastAsiaTheme="majorEastAsia" w:hAnsiTheme="majorHAnsi" w:cstheme="majorBidi"/>
      <w:color w:val="365F91" w:themeColor="accent1" w:themeShade="BF"/>
      <w:sz w:val="26"/>
      <w:szCs w:val="26"/>
      <w:lang w:eastAsia="en-US"/>
    </w:rPr>
  </w:style>
  <w:style w:type="paragraph" w:styleId="Kopvaninhoudsopgave">
    <w:name w:val="TOC Heading"/>
    <w:basedOn w:val="Kop1"/>
    <w:next w:val="Standaard"/>
    <w:uiPriority w:val="39"/>
    <w:unhideWhenUsed/>
    <w:qFormat/>
    <w:rsid w:val="008108A0"/>
    <w:pPr>
      <w:outlineLvl w:val="9"/>
    </w:pPr>
  </w:style>
  <w:style w:type="paragraph" w:styleId="Inhopg1">
    <w:name w:val="toc 1"/>
    <w:basedOn w:val="Standaard"/>
    <w:next w:val="Standaard"/>
    <w:autoRedefine/>
    <w:uiPriority w:val="39"/>
    <w:unhideWhenUsed/>
    <w:rsid w:val="008108A0"/>
    <w:pPr>
      <w:spacing w:after="100"/>
    </w:pPr>
  </w:style>
  <w:style w:type="paragraph" w:styleId="Inhopg2">
    <w:name w:val="toc 2"/>
    <w:basedOn w:val="Standaard"/>
    <w:next w:val="Standaard"/>
    <w:autoRedefine/>
    <w:uiPriority w:val="39"/>
    <w:unhideWhenUsed/>
    <w:rsid w:val="008108A0"/>
    <w:pPr>
      <w:spacing w:after="100"/>
      <w:ind w:left="220"/>
    </w:pPr>
  </w:style>
  <w:style w:type="paragraph" w:styleId="Geenafstand">
    <w:name w:val="No Spacing"/>
    <w:uiPriority w:val="1"/>
    <w:qFormat/>
    <w:rsid w:val="001A64FE"/>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B34E83"/>
    <w:rPr>
      <w:color w:val="800080" w:themeColor="followedHyperlink"/>
      <w:u w:val="single"/>
    </w:rPr>
  </w:style>
  <w:style w:type="character" w:customStyle="1" w:styleId="Kop3Char">
    <w:name w:val="Kop 3 Char"/>
    <w:basedOn w:val="Standaardalinea-lettertype"/>
    <w:link w:val="Kop3"/>
    <w:uiPriority w:val="9"/>
    <w:rsid w:val="00D2005D"/>
    <w:rPr>
      <w:rFonts w:asciiTheme="majorHAnsi" w:eastAsiaTheme="majorEastAsia" w:hAnsiTheme="majorHAnsi" w:cstheme="majorBidi"/>
      <w:color w:val="243F60" w:themeColor="accent1" w:themeShade="7F"/>
      <w:sz w:val="24"/>
      <w:szCs w:val="24"/>
      <w:lang w:eastAsia="en-US"/>
    </w:rPr>
  </w:style>
  <w:style w:type="paragraph" w:styleId="Inhopg3">
    <w:name w:val="toc 3"/>
    <w:basedOn w:val="Standaard"/>
    <w:next w:val="Standaard"/>
    <w:autoRedefine/>
    <w:uiPriority w:val="39"/>
    <w:unhideWhenUsed/>
    <w:rsid w:val="00076B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298">
      <w:bodyDiv w:val="1"/>
      <w:marLeft w:val="0"/>
      <w:marRight w:val="0"/>
      <w:marTop w:val="0"/>
      <w:marBottom w:val="0"/>
      <w:divBdr>
        <w:top w:val="none" w:sz="0" w:space="0" w:color="auto"/>
        <w:left w:val="none" w:sz="0" w:space="0" w:color="auto"/>
        <w:bottom w:val="none" w:sz="0" w:space="0" w:color="auto"/>
        <w:right w:val="none" w:sz="0" w:space="0" w:color="auto"/>
      </w:divBdr>
    </w:div>
    <w:div w:id="294869082">
      <w:bodyDiv w:val="1"/>
      <w:marLeft w:val="0"/>
      <w:marRight w:val="0"/>
      <w:marTop w:val="0"/>
      <w:marBottom w:val="0"/>
      <w:divBdr>
        <w:top w:val="none" w:sz="0" w:space="0" w:color="auto"/>
        <w:left w:val="none" w:sz="0" w:space="0" w:color="auto"/>
        <w:bottom w:val="none" w:sz="0" w:space="0" w:color="auto"/>
        <w:right w:val="none" w:sz="0" w:space="0" w:color="auto"/>
      </w:divBdr>
    </w:div>
    <w:div w:id="434980510">
      <w:bodyDiv w:val="1"/>
      <w:marLeft w:val="0"/>
      <w:marRight w:val="0"/>
      <w:marTop w:val="0"/>
      <w:marBottom w:val="0"/>
      <w:divBdr>
        <w:top w:val="none" w:sz="0" w:space="0" w:color="auto"/>
        <w:left w:val="none" w:sz="0" w:space="0" w:color="auto"/>
        <w:bottom w:val="none" w:sz="0" w:space="0" w:color="auto"/>
        <w:right w:val="none" w:sz="0" w:space="0" w:color="auto"/>
      </w:divBdr>
    </w:div>
    <w:div w:id="669985356">
      <w:bodyDiv w:val="1"/>
      <w:marLeft w:val="0"/>
      <w:marRight w:val="0"/>
      <w:marTop w:val="0"/>
      <w:marBottom w:val="0"/>
      <w:divBdr>
        <w:top w:val="none" w:sz="0" w:space="0" w:color="auto"/>
        <w:left w:val="none" w:sz="0" w:space="0" w:color="auto"/>
        <w:bottom w:val="none" w:sz="0" w:space="0" w:color="auto"/>
        <w:right w:val="none" w:sz="0" w:space="0" w:color="auto"/>
      </w:divBdr>
    </w:div>
    <w:div w:id="918749854">
      <w:bodyDiv w:val="1"/>
      <w:marLeft w:val="0"/>
      <w:marRight w:val="0"/>
      <w:marTop w:val="0"/>
      <w:marBottom w:val="0"/>
      <w:divBdr>
        <w:top w:val="none" w:sz="0" w:space="0" w:color="auto"/>
        <w:left w:val="none" w:sz="0" w:space="0" w:color="auto"/>
        <w:bottom w:val="none" w:sz="0" w:space="0" w:color="auto"/>
        <w:right w:val="none" w:sz="0" w:space="0" w:color="auto"/>
      </w:divBdr>
    </w:div>
    <w:div w:id="1047529018">
      <w:bodyDiv w:val="1"/>
      <w:marLeft w:val="0"/>
      <w:marRight w:val="0"/>
      <w:marTop w:val="0"/>
      <w:marBottom w:val="0"/>
      <w:divBdr>
        <w:top w:val="none" w:sz="0" w:space="0" w:color="auto"/>
        <w:left w:val="none" w:sz="0" w:space="0" w:color="auto"/>
        <w:bottom w:val="none" w:sz="0" w:space="0" w:color="auto"/>
        <w:right w:val="none" w:sz="0" w:space="0" w:color="auto"/>
      </w:divBdr>
    </w:div>
    <w:div w:id="1094549066">
      <w:bodyDiv w:val="1"/>
      <w:marLeft w:val="0"/>
      <w:marRight w:val="0"/>
      <w:marTop w:val="0"/>
      <w:marBottom w:val="0"/>
      <w:divBdr>
        <w:top w:val="none" w:sz="0" w:space="0" w:color="auto"/>
        <w:left w:val="none" w:sz="0" w:space="0" w:color="auto"/>
        <w:bottom w:val="none" w:sz="0" w:space="0" w:color="auto"/>
        <w:right w:val="none" w:sz="0" w:space="0" w:color="auto"/>
      </w:divBdr>
    </w:div>
    <w:div w:id="1101491272">
      <w:bodyDiv w:val="1"/>
      <w:marLeft w:val="0"/>
      <w:marRight w:val="0"/>
      <w:marTop w:val="0"/>
      <w:marBottom w:val="0"/>
      <w:divBdr>
        <w:top w:val="none" w:sz="0" w:space="0" w:color="auto"/>
        <w:left w:val="none" w:sz="0" w:space="0" w:color="auto"/>
        <w:bottom w:val="none" w:sz="0" w:space="0" w:color="auto"/>
        <w:right w:val="none" w:sz="0" w:space="0" w:color="auto"/>
      </w:divBdr>
    </w:div>
    <w:div w:id="1129324837">
      <w:bodyDiv w:val="1"/>
      <w:marLeft w:val="0"/>
      <w:marRight w:val="0"/>
      <w:marTop w:val="0"/>
      <w:marBottom w:val="0"/>
      <w:divBdr>
        <w:top w:val="none" w:sz="0" w:space="0" w:color="auto"/>
        <w:left w:val="none" w:sz="0" w:space="0" w:color="auto"/>
        <w:bottom w:val="none" w:sz="0" w:space="0" w:color="auto"/>
        <w:right w:val="none" w:sz="0" w:space="0" w:color="auto"/>
      </w:divBdr>
    </w:div>
    <w:div w:id="1148012422">
      <w:bodyDiv w:val="1"/>
      <w:marLeft w:val="0"/>
      <w:marRight w:val="0"/>
      <w:marTop w:val="0"/>
      <w:marBottom w:val="0"/>
      <w:divBdr>
        <w:top w:val="none" w:sz="0" w:space="0" w:color="auto"/>
        <w:left w:val="none" w:sz="0" w:space="0" w:color="auto"/>
        <w:bottom w:val="none" w:sz="0" w:space="0" w:color="auto"/>
        <w:right w:val="none" w:sz="0" w:space="0" w:color="auto"/>
      </w:divBdr>
    </w:div>
    <w:div w:id="1169325132">
      <w:bodyDiv w:val="1"/>
      <w:marLeft w:val="0"/>
      <w:marRight w:val="0"/>
      <w:marTop w:val="0"/>
      <w:marBottom w:val="0"/>
      <w:divBdr>
        <w:top w:val="none" w:sz="0" w:space="0" w:color="auto"/>
        <w:left w:val="none" w:sz="0" w:space="0" w:color="auto"/>
        <w:bottom w:val="none" w:sz="0" w:space="0" w:color="auto"/>
        <w:right w:val="none" w:sz="0" w:space="0" w:color="auto"/>
      </w:divBdr>
    </w:div>
    <w:div w:id="1193425090">
      <w:bodyDiv w:val="1"/>
      <w:marLeft w:val="0"/>
      <w:marRight w:val="0"/>
      <w:marTop w:val="0"/>
      <w:marBottom w:val="0"/>
      <w:divBdr>
        <w:top w:val="none" w:sz="0" w:space="0" w:color="auto"/>
        <w:left w:val="none" w:sz="0" w:space="0" w:color="auto"/>
        <w:bottom w:val="none" w:sz="0" w:space="0" w:color="auto"/>
        <w:right w:val="none" w:sz="0" w:space="0" w:color="auto"/>
      </w:divBdr>
    </w:div>
    <w:div w:id="1360932631">
      <w:bodyDiv w:val="1"/>
      <w:marLeft w:val="0"/>
      <w:marRight w:val="0"/>
      <w:marTop w:val="0"/>
      <w:marBottom w:val="0"/>
      <w:divBdr>
        <w:top w:val="none" w:sz="0" w:space="0" w:color="auto"/>
        <w:left w:val="none" w:sz="0" w:space="0" w:color="auto"/>
        <w:bottom w:val="none" w:sz="0" w:space="0" w:color="auto"/>
        <w:right w:val="none" w:sz="0" w:space="0" w:color="auto"/>
      </w:divBdr>
    </w:div>
    <w:div w:id="1421944956">
      <w:bodyDiv w:val="1"/>
      <w:marLeft w:val="0"/>
      <w:marRight w:val="0"/>
      <w:marTop w:val="0"/>
      <w:marBottom w:val="0"/>
      <w:divBdr>
        <w:top w:val="none" w:sz="0" w:space="0" w:color="auto"/>
        <w:left w:val="none" w:sz="0" w:space="0" w:color="auto"/>
        <w:bottom w:val="none" w:sz="0" w:space="0" w:color="auto"/>
        <w:right w:val="none" w:sz="0" w:space="0" w:color="auto"/>
      </w:divBdr>
    </w:div>
    <w:div w:id="1442068364">
      <w:bodyDiv w:val="1"/>
      <w:marLeft w:val="0"/>
      <w:marRight w:val="0"/>
      <w:marTop w:val="0"/>
      <w:marBottom w:val="0"/>
      <w:divBdr>
        <w:top w:val="none" w:sz="0" w:space="0" w:color="auto"/>
        <w:left w:val="none" w:sz="0" w:space="0" w:color="auto"/>
        <w:bottom w:val="none" w:sz="0" w:space="0" w:color="auto"/>
        <w:right w:val="none" w:sz="0" w:space="0" w:color="auto"/>
      </w:divBdr>
    </w:div>
    <w:div w:id="1584795668">
      <w:bodyDiv w:val="1"/>
      <w:marLeft w:val="0"/>
      <w:marRight w:val="0"/>
      <w:marTop w:val="0"/>
      <w:marBottom w:val="0"/>
      <w:divBdr>
        <w:top w:val="none" w:sz="0" w:space="0" w:color="auto"/>
        <w:left w:val="none" w:sz="0" w:space="0" w:color="auto"/>
        <w:bottom w:val="none" w:sz="0" w:space="0" w:color="auto"/>
        <w:right w:val="none" w:sz="0" w:space="0" w:color="auto"/>
      </w:divBdr>
    </w:div>
    <w:div w:id="1631128472">
      <w:bodyDiv w:val="1"/>
      <w:marLeft w:val="0"/>
      <w:marRight w:val="0"/>
      <w:marTop w:val="0"/>
      <w:marBottom w:val="0"/>
      <w:divBdr>
        <w:top w:val="none" w:sz="0" w:space="0" w:color="auto"/>
        <w:left w:val="none" w:sz="0" w:space="0" w:color="auto"/>
        <w:bottom w:val="none" w:sz="0" w:space="0" w:color="auto"/>
        <w:right w:val="none" w:sz="0" w:space="0" w:color="auto"/>
      </w:divBdr>
    </w:div>
    <w:div w:id="1829207564">
      <w:bodyDiv w:val="1"/>
      <w:marLeft w:val="0"/>
      <w:marRight w:val="0"/>
      <w:marTop w:val="0"/>
      <w:marBottom w:val="0"/>
      <w:divBdr>
        <w:top w:val="none" w:sz="0" w:space="0" w:color="auto"/>
        <w:left w:val="none" w:sz="0" w:space="0" w:color="auto"/>
        <w:bottom w:val="none" w:sz="0" w:space="0" w:color="auto"/>
        <w:right w:val="none" w:sz="0" w:space="0" w:color="auto"/>
      </w:divBdr>
    </w:div>
    <w:div w:id="1944535409">
      <w:bodyDiv w:val="1"/>
      <w:marLeft w:val="0"/>
      <w:marRight w:val="0"/>
      <w:marTop w:val="0"/>
      <w:marBottom w:val="0"/>
      <w:divBdr>
        <w:top w:val="none" w:sz="0" w:space="0" w:color="auto"/>
        <w:left w:val="none" w:sz="0" w:space="0" w:color="auto"/>
        <w:bottom w:val="none" w:sz="0" w:space="0" w:color="auto"/>
        <w:right w:val="none" w:sz="0" w:space="0" w:color="auto"/>
      </w:divBdr>
    </w:div>
    <w:div w:id="20025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licht.com/nieuws/steeds-meer-consumenten-wisselen-van-energieleveranci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slich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triensis.nl/_userdata/files/rapport-energielabel(2).pdf" TargetMode="External"/><Relationship Id="rId2" Type="http://schemas.openxmlformats.org/officeDocument/2006/relationships/hyperlink" Target="http://www.zonnighuren.nl/wp-content/uploads/2013/03/uni-utrecht_Opbrengst_van_zonnestroomsystemen_in_NL_11032014.pdf" TargetMode="External"/><Relationship Id="rId1" Type="http://schemas.openxmlformats.org/officeDocument/2006/relationships/hyperlink" Target="http://www.zonnighuren.nl/wp-content/uploads/2013/03/ervaringen-verhuurders-zonnepanelen-enquete.pdf" TargetMode="External"/><Relationship Id="rId4" Type="http://schemas.openxmlformats.org/officeDocument/2006/relationships/hyperlink" Target="http://www.motivaction.nl/kennisplatform/in-de-media/woning-met-zonnepanelen-aantrekkelij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e.MDP-ASP\AppData\Roaming\Microsoft\Sjablonen\Brief%20stichting%20MOE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DB05-488E-42AD-A3D4-C660F677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stichting MOED</Template>
  <TotalTime>1</TotalTime>
  <Pages>1</Pages>
  <Words>1734</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HollandPubliciteit bv</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Gels</dc:creator>
  <cp:lastModifiedBy>Maarten Corpeleijn</cp:lastModifiedBy>
  <cp:revision>4</cp:revision>
  <cp:lastPrinted>2016-02-04T18:18:00Z</cp:lastPrinted>
  <dcterms:created xsi:type="dcterms:W3CDTF">2016-04-25T12:02:00Z</dcterms:created>
  <dcterms:modified xsi:type="dcterms:W3CDTF">2016-04-25T12:03:00Z</dcterms:modified>
</cp:coreProperties>
</file>